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pPr>
      <w:r>
        <w:rPr>
          <w:rFonts w:ascii="Arial" w:cs="Arial" w:eastAsia="Arial" w:hAnsi="Arial"/>
          <w:b/>
          <w:bCs/>
          <w:i w:val="false"/>
          <w:iCs w:val="false"/>
          <w:color w:val="000000"/>
          <w:sz w:val="20"/>
          <w:szCs w:val="20"/>
        </w:rPr>
        <w:t xml:space="preserve">Table 5. </w:t>
      </w:r>
      <w:r>
        <w:rPr>
          <w:rFonts w:ascii="Arial" w:cs="Arial" w:eastAsia="Arial" w:hAnsi="Arial"/>
          <w:b w:val="false"/>
          <w:bCs w:val="false"/>
          <w:i w:val="false"/>
          <w:iCs w:val="false"/>
          <w:color w:val="000000"/>
          <w:sz w:val="20"/>
          <w:szCs w:val="20"/>
        </w:rPr>
        <w:t xml:space="preserve">Benchmark Comparability Analysis — Eight Dimensions Limiting Cross-Study Performance Comparison Across the 71 Included Studies (2015–2026). Severity ratings: CRITICAL = benchmarks cannot be directly compared without this factor addressed; MAJOR = strong caution required; MODERATE = note and adjust.</w:t>
      </w:r>
    </w:p>
    <w:p>
      <w:pPr>
        <w:spacing w:after="160" w:before="0"/>
      </w:pPr>
      <w:r>
        <w:rPr>
          <w:rFonts w:ascii="Arial" w:cs="Arial" w:eastAsia="Arial" w:hAnsi="Arial"/>
          <w:b w:val="false"/>
          <w:bCs w:val="false"/>
          <w:i/>
          <w:iCs/>
          <w:color w:val="595959"/>
          <w:sz w:val="15"/>
          <w:szCs w:val="15"/>
        </w:rPr>
        <w:t xml:space="preserve">WER = word error rate. PCC = Pearson correlation coefficient. CER = character error rate. BLEU = bilingual evaluation understudy. MOS = mean opinion score. WPM = words per minute. CV = cross-validation. CI = confidence interval. SD = standard deviation. This table provides the analytical foundation for Section 5.5 (Benchmark Comparability) and directly informs the answer to RQ2: 'are these benchmarks directly comparable across studies?' The short answer is: no — not without careful stratification by the dimensions documented here.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900"/>
        <w:gridCol w:w="2800"/>
        <w:gridCol w:w="4900"/>
      </w:tblGrid>
      <w:tr>
        <w:trPr>
          <w:tblHeader/>
        </w:trPr>
        <w:tc>
          <w:tcPr>
            <w:tcW w:type="dxa" w:w="2000"/>
            <w:tcBorders>
              <w:top w:val="single" w:color="1F4E79" w:sz="4"/>
              <w:left w:val="single" w:color="CCCCCC" w:sz="1"/>
              <w:bottom w:val="single" w:color="1F4E79" w:sz="4"/>
              <w:right w:val="single" w:color="CCCCCC" w:sz="1"/>
            </w:tcBorders>
            <w:shd w:fill="1F4E79"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FFFFFF"/>
                <w:sz w:val="16"/>
                <w:szCs w:val="16"/>
              </w:rPr>
              <w:t xml:space="preserve">Comparability dimension</w:t>
            </w:r>
          </w:p>
        </w:tc>
        <w:tc>
          <w:tcPr>
            <w:tcW w:type="dxa" w:w="2400"/>
            <w:tcBorders>
              <w:top w:val="single" w:color="1F4E79" w:sz="4"/>
              <w:left w:val="single" w:color="CCCCCC" w:sz="1"/>
              <w:bottom w:val="single" w:color="1F4E79" w:sz="4"/>
              <w:right w:val="single" w:color="CCCCCC" w:sz="1"/>
            </w:tcBorders>
            <w:shd w:fill="1F4E79"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FFFFFF"/>
                <w:sz w:val="16"/>
                <w:szCs w:val="16"/>
              </w:rPr>
              <w:t xml:space="preserve">Range of variation across
71 included studies</w:t>
            </w:r>
          </w:p>
        </w:tc>
        <w:tc>
          <w:tcPr>
            <w:tcW w:type="dxa" w:w="1400"/>
            <w:tcBorders>
              <w:top w:val="single" w:color="1F4E79" w:sz="4"/>
              <w:left w:val="single" w:color="CCCCCC" w:sz="1"/>
              <w:bottom w:val="single" w:color="1F4E79" w:sz="4"/>
              <w:right w:val="single" w:color="CCCCCC" w:sz="1"/>
            </w:tcBorders>
            <w:shd w:fill="1F4E79"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FFFFFF"/>
                <w:sz w:val="16"/>
                <w:szCs w:val="16"/>
              </w:rPr>
              <w:t xml:space="preserve">Effect on reported
performance</w:t>
            </w:r>
          </w:p>
        </w:tc>
        <w:tc>
          <w:tcPr>
            <w:tcW w:type="dxa" w:w="900"/>
            <w:tcBorders>
              <w:top w:val="single" w:color="1F4E79" w:sz="4"/>
              <w:left w:val="single" w:color="CCCCCC" w:sz="1"/>
              <w:bottom w:val="single" w:color="1F4E79" w:sz="4"/>
              <w:right w:val="single" w:color="CCCCCC" w:sz="1"/>
            </w:tcBorders>
            <w:shd w:fill="1F4E79"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FFFFFF"/>
                <w:sz w:val="16"/>
                <w:szCs w:val="16"/>
              </w:rPr>
              <w:t xml:space="preserve">Severity for
cross-study
comparison</w:t>
            </w:r>
          </w:p>
        </w:tc>
        <w:tc>
          <w:tcPr>
            <w:tcW w:type="dxa" w:w="2800"/>
            <w:tcBorders>
              <w:top w:val="single" w:color="1F4E79" w:sz="4"/>
              <w:left w:val="single" w:color="CCCCCC" w:sz="1"/>
              <w:bottom w:val="single" w:color="1F4E79" w:sz="4"/>
              <w:right w:val="single" w:color="CCCCCC" w:sz="1"/>
            </w:tcBorders>
            <w:shd w:fill="1F4E79"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FFFFFF"/>
                <w:sz w:val="16"/>
                <w:szCs w:val="16"/>
              </w:rPr>
              <w:t xml:space="preserve">Evidence from
included studies</w:t>
            </w:r>
          </w:p>
        </w:tc>
        <w:tc>
          <w:tcPr>
            <w:tcW w:type="dxa" w:w="4900"/>
            <w:tcBorders>
              <w:top w:val="single" w:color="1F4E79" w:sz="4"/>
              <w:left w:val="single" w:color="CCCCCC" w:sz="1"/>
              <w:bottom w:val="single" w:color="1F4E79" w:sz="4"/>
              <w:right w:val="single" w:color="CCCCCC" w:sz="1"/>
            </w:tcBorders>
            <w:shd w:fill="1F4E79" w:val="clear"/>
            <w:tcMar>
              <w:top w:type="dxa" w:w="80"/>
              <w:left w:type="dxa" w:w="110"/>
              <w:bottom w:type="dxa" w:w="80"/>
              <w:right w:type="dxa" w:w="110"/>
            </w:tcMar>
            <w:vAlign w:val="center"/>
          </w:tcPr>
          <w:p>
            <w:pPr>
              <w:spacing w:after="0" w:before="0"/>
            </w:pPr>
            <w:r>
              <w:rPr>
                <w:rFonts w:ascii="Arial" w:cs="Arial" w:eastAsia="Arial" w:hAnsi="Arial"/>
                <w:b/>
                <w:bCs/>
                <w:i w:val="false"/>
                <w:iCs w:val="false"/>
                <w:color w:val="FFFFFF"/>
                <w:sz w:val="16"/>
                <w:szCs w:val="16"/>
              </w:rPr>
              <w:t xml:space="preserve">Implication for interpreting
cross-study benchmarks</w:t>
            </w:r>
          </w:p>
        </w:tc>
      </w:tr>
      <w:tr>
        <w:tc>
          <w:tcPr>
            <w:tcW w:type="dxa" w:w="14400"/>
            <w:gridSpan w:val="6"/>
            <w:tcBorders>
              <w:top w:val="single" w:color="1F4E79" w:sz="4"/>
              <w:left w:val="single" w:color="CCCCCC" w:sz="1"/>
              <w:bottom w:val="single" w:color="1F4E79" w:sz="4"/>
              <w:right w:val="single" w:color="CCCCCC" w:sz="1"/>
            </w:tcBorders>
            <w:shd w:fill="1F4E79" w:val="clear"/>
            <w:tcMar>
              <w:top w:type="dxa" w:w="60"/>
              <w:left w:type="dxa" w:w="120"/>
              <w:bottom w:type="dxa" w:w="60"/>
              <w:right w:type="dxa" w:w="120"/>
            </w:tcMar>
          </w:tcPr>
          <w:p>
            <w:pPr>
              <w:spacing w:after="0" w:before="0"/>
            </w:pPr>
            <w:r>
              <w:rPr>
                <w:rFonts w:ascii="Arial" w:cs="Arial" w:eastAsia="Arial" w:hAnsi="Arial"/>
                <w:b/>
                <w:bCs/>
                <w:i w:val="false"/>
                <w:iCs w:val="false"/>
                <w:color w:val="FFFFFF"/>
                <w:sz w:val="17"/>
                <w:szCs w:val="17"/>
              </w:rPr>
              <w:t xml:space="preserve">SECTION A — TASK AND PARADIGM FACTORS  (most consequential for cross-study comparison)</w:t>
            </w:r>
          </w:p>
        </w:tc>
      </w:tr>
      <w:tr>
        <w:tc>
          <w:tcPr>
            <w:tcW w:type="dxa" w:w="2000"/>
            <w:tcBorders>
              <w:top w:val="single" w:color="CCCCCC" w:sz="1"/>
              <w:left w:val="single" w:color="CCCCCC" w:sz="1"/>
              <w:bottom w:val="single" w:color="CCCCCC" w:sz="1"/>
              <w:right w:val="single" w:color="CCCCCC" w:sz="1"/>
            </w:tcBorders>
            <w:shd w:fill="FFD7D7" w:val="clear"/>
            <w:tcMar>
              <w:top w:type="dxa" w:w="90"/>
              <w:left w:type="dxa" w:w="110"/>
              <w:bottom w:type="dxa" w:w="90"/>
              <w:right w:type="dxa" w:w="110"/>
            </w:tcMar>
            <w:vAlign w:val="top"/>
          </w:tcPr>
          <w:p>
            <w:pPr>
              <w:spacing w:after="20" w:before="0"/>
            </w:pPr>
            <w:r>
              <w:rPr>
                <w:rFonts w:ascii="Arial" w:cs="Arial" w:eastAsia="Arial" w:hAnsi="Arial"/>
                <w:b/>
                <w:bCs/>
                <w:i w:val="false"/>
                <w:iCs w:val="false"/>
                <w:color w:val="000000"/>
                <w:sz w:val="17"/>
                <w:szCs w:val="17"/>
              </w:rPr>
              <w:t xml:space="preserve">1. Vocabulary size
and scope</w:t>
            </w:r>
          </w:p>
          <w:p>
            <w:pPr>
              <w:spacing w:after="28" w:before="0"/>
            </w:pPr>
            <w:r>
              <w:rPr>
                <w:rFonts w:ascii="Arial" w:cs="Arial" w:eastAsia="Arial" w:hAnsi="Arial"/>
                <w:b w:val="false"/>
                <w:bCs w:val="false"/>
                <w:i/>
                <w:iCs/>
                <w:color w:val="595959"/>
                <w:sz w:val="14"/>
                <w:szCs w:val="14"/>
              </w:rPr>
              <w:t xml:space="preserve">Number of words/classes the decoder must discriminate; closed-set vs open-vocabulary</w:t>
            </w:r>
          </w:p>
        </w:tc>
        <w:tc>
          <w:tcPr>
            <w:tcW w:type="dxa" w:w="2400"/>
            <w:tcBorders>
              <w:top w:val="single" w:color="CCCCCC" w:sz="1"/>
              <w:left w:val="single" w:color="CCCCCC" w:sz="1"/>
              <w:bottom w:val="single" w:color="CCCCCC" w:sz="1"/>
              <w:right w:val="single" w:color="CCCCCC" w:sz="1"/>
            </w:tcBorders>
            <w:shd w:fill="FFD7D7" w:val="clear"/>
            <w:tcMar>
              <w:top w:type="dxa" w:w="90"/>
              <w:left w:type="dxa" w:w="110"/>
              <w:bottom w:type="dxa" w:w="90"/>
              <w:right w:type="dxa" w:w="110"/>
            </w:tcMar>
            <w:vAlign w:val="top"/>
          </w:tcPr>
          <w:p>
            <w:pPr>
              <w:spacing w:after="28" w:before="0"/>
              <w:ind w:left="220" w:hanging="200"/>
            </w:pPr>
            <w:r>
              <w:rPr>
                <w:rFonts w:ascii="Arial" w:cs="Arial" w:eastAsia="Arial" w:hAnsi="Arial"/>
                <w:b w:val="false"/>
                <w:bCs w:val="false"/>
                <w:i w:val="false"/>
                <w:iCs w:val="false"/>
                <w:color w:val="000000"/>
                <w:sz w:val="15"/>
                <w:szCs w:val="15"/>
              </w:rPr>
              <w:t xml:space="preserve">•  2-class binary discrimination (minimum)</w:t>
            </w:r>
          </w:p>
          <w:p>
            <w:pPr>
              <w:spacing w:after="28" w:before="0"/>
              <w:ind w:left="220" w:hanging="200"/>
            </w:pPr>
            <w:r>
              <w:rPr>
                <w:rFonts w:ascii="Arial" w:cs="Arial" w:eastAsia="Arial" w:hAnsi="Arial"/>
                <w:b w:val="false"/>
                <w:bCs w:val="false"/>
                <w:i w:val="false"/>
                <w:iCs w:val="false"/>
                <w:color w:val="000000"/>
                <w:sz w:val="15"/>
                <w:szCs w:val="15"/>
              </w:rPr>
              <w:t xml:space="preserve">•  5–50 word closed-set (most EEG imagined speech)</w:t>
            </w:r>
          </w:p>
          <w:p>
            <w:pPr>
              <w:spacing w:after="28" w:before="0"/>
              <w:ind w:left="220" w:hanging="200"/>
            </w:pPr>
            <w:r>
              <w:rPr>
                <w:rFonts w:ascii="Arial" w:cs="Arial" w:eastAsia="Arial" w:hAnsi="Arial"/>
                <w:b w:val="false"/>
                <w:bCs w:val="false"/>
                <w:i w:val="false"/>
                <w:iCs w:val="false"/>
                <w:color w:val="000000"/>
                <w:sz w:val="15"/>
                <w:szCs w:val="15"/>
              </w:rPr>
              <w:t xml:space="preserve">•  50–1,000 word constrained vocabulary (early ECoG)</w:t>
            </w:r>
          </w:p>
          <w:p>
            <w:pPr>
              <w:spacing w:after="28" w:before="0"/>
              <w:ind w:left="220" w:hanging="200"/>
            </w:pPr>
            <w:r>
              <w:rPr>
                <w:rFonts w:ascii="Arial" w:cs="Arial" w:eastAsia="Arial" w:hAnsi="Arial"/>
                <w:b w:val="false"/>
                <w:bCs w:val="false"/>
                <w:i w:val="false"/>
                <w:iCs w:val="false"/>
                <w:color w:val="000000"/>
                <w:sz w:val="15"/>
                <w:szCs w:val="15"/>
              </w:rPr>
              <w:t xml:space="preserve">•  125,000+ word open vocabulary (state-of-the-art intracortical)</w:t>
            </w:r>
          </w:p>
          <w:p>
            <w:pPr>
              <w:spacing w:after="28" w:before="0"/>
            </w:pPr>
            <w:r>
              <w:rPr>
                <w:rFonts w:ascii="Arial" w:cs="Arial" w:eastAsia="Arial" w:hAnsi="Arial"/>
                <w:b w:val="false"/>
                <w:bCs w:val="false"/>
                <w:i/>
                <w:iCs/>
                <w:color w:val="595959"/>
                <w:sz w:val="14"/>
                <w:szCs w:val="14"/>
              </w:rPr>
              <w:t xml:space="preserve">Range: 2 classes → 125,000+ words across 71 studies</w:t>
            </w:r>
          </w:p>
        </w:tc>
        <w:tc>
          <w:tcPr>
            <w:tcW w:type="dxa" w:w="1400"/>
            <w:tcBorders>
              <w:top w:val="single" w:color="CCCCCC" w:sz="1"/>
              <w:left w:val="single" w:color="CCCCCC" w:sz="1"/>
              <w:bottom w:val="single" w:color="CCCCCC" w:sz="1"/>
              <w:right w:val="single" w:color="CCCCCC" w:sz="1"/>
            </w:tcBorders>
            <w:shd w:fill="FFD7D7" w:val="clear"/>
            <w:tcMar>
              <w:top w:type="dxa" w:w="90"/>
              <w:left w:type="dxa" w:w="110"/>
              <w:bottom w:type="dxa" w:w="90"/>
              <w:right w:type="dxa" w:w="110"/>
            </w:tcMar>
            <w:vAlign w:val="top"/>
          </w:tcPr>
          <w:p>
            <w:pPr>
              <w:spacing w:after="20" w:before="0"/>
            </w:pPr>
            <w:r>
              <w:rPr>
                <w:rFonts w:ascii="Arial" w:cs="Arial" w:eastAsia="Arial" w:hAnsi="Arial"/>
                <w:b/>
                <w:bCs/>
                <w:i w:val="false"/>
                <w:iCs w:val="false"/>
                <w:color w:val="000000"/>
                <w:sz w:val="15"/>
                <w:szCs w:val="15"/>
              </w:rPr>
              <w:t xml:space="preserve">Smaller vocabulary →</w:t>
            </w:r>
          </w:p>
          <w:p>
            <w:pPr>
              <w:spacing w:after="28" w:before="0"/>
              <w:ind w:left="220" w:hanging="200"/>
            </w:pPr>
            <w:r>
              <w:rPr>
                <w:rFonts w:ascii="Arial" w:cs="Arial" w:eastAsia="Arial" w:hAnsi="Arial"/>
                <w:b w:val="false"/>
                <w:bCs w:val="false"/>
                <w:i w:val="false"/>
                <w:iCs w:val="false"/>
                <w:color w:val="000000"/>
                <w:sz w:val="15"/>
                <w:szCs w:val="15"/>
              </w:rPr>
              <w:t xml:space="preserve">•  Inflated classification accuracy</w:t>
            </w:r>
          </w:p>
          <w:p>
            <w:pPr>
              <w:spacing w:after="28" w:before="0"/>
              <w:ind w:left="220" w:hanging="200"/>
            </w:pPr>
            <w:r>
              <w:rPr>
                <w:rFonts w:ascii="Arial" w:cs="Arial" w:eastAsia="Arial" w:hAnsi="Arial"/>
                <w:b w:val="false"/>
                <w:bCs w:val="false"/>
                <w:i w:val="false"/>
                <w:iCs w:val="false"/>
                <w:color w:val="000000"/>
                <w:sz w:val="15"/>
                <w:szCs w:val="15"/>
              </w:rPr>
              <w:t xml:space="preserve">•  Artificially low WER (fewer confusable words)</w:t>
            </w:r>
          </w:p>
          <w:p>
            <w:pPr>
              <w:spacing w:after="0" w:before="0"/>
            </w:pPr>
            <w:r>
              <w:rPr>
                <w:rFonts w:ascii="Arial" w:cs="Arial" w:eastAsia="Arial" w:hAnsi="Arial"/>
                <w:b w:val="false"/>
                <w:bCs w:val="false"/>
                <w:i/>
                <w:iCs/>
                <w:color w:val="000000"/>
                <w:sz w:val="15"/>
                <w:szCs w:val="15"/>
              </w:rPr>
              <w:t xml:space="preserve">Direction: inverse relationship between vocabulary size and apparent performance.</w:t>
            </w:r>
          </w:p>
        </w:tc>
        <w:tc>
          <w:tcPr>
            <w:tcW w:type="dxa" w:w="900"/>
            <w:tcBorders>
              <w:top w:val="single" w:color="CCCCCC" w:sz="1"/>
              <w:left w:val="single" w:color="CCCCCC" w:sz="1"/>
              <w:bottom w:val="single" w:color="CCCCCC" w:sz="1"/>
              <w:right w:val="single" w:color="CCCCCC" w:sz="1"/>
            </w:tcBorders>
            <w:shd w:fill="C0392B" w:val="clear"/>
            <w:tcMar>
              <w:top w:type="dxa" w:w="90"/>
              <w:left w:type="dxa" w:w="80"/>
              <w:bottom w:type="dxa" w:w="90"/>
              <w:right w:type="dxa" w:w="80"/>
            </w:tcMar>
            <w:vAlign w:val="center"/>
          </w:tcPr>
          <w:p>
            <w:pPr>
              <w:spacing w:after="0" w:before="0"/>
              <w:jc w:val="center"/>
            </w:pPr>
            <w:r>
              <w:rPr>
                <w:rFonts w:ascii="Arial" w:cs="Arial" w:eastAsia="Arial" w:hAnsi="Arial"/>
                <w:b/>
                <w:bCs/>
                <w:i w:val="false"/>
                <w:iCs w:val="false"/>
                <w:color w:val="FFFFFF"/>
                <w:sz w:val="15"/>
                <w:szCs w:val="15"/>
              </w:rPr>
              <w:t xml:space="preserve">CRITICAL</w:t>
            </w:r>
          </w:p>
        </w:tc>
        <w:tc>
          <w:tcPr>
            <w:tcW w:type="dxa" w:w="2800"/>
            <w:tcBorders>
              <w:top w:val="single" w:color="CCCCCC" w:sz="1"/>
              <w:left w:val="single" w:color="CCCCCC" w:sz="1"/>
              <w:bottom w:val="single" w:color="CCCCCC" w:sz="1"/>
              <w:right w:val="single" w:color="CCCCCC" w:sz="1"/>
            </w:tcBorders>
            <w:shd w:fill="FFD7D7" w:val="clear"/>
            <w:tcMar>
              <w:top w:type="dxa" w:w="90"/>
              <w:left w:type="dxa" w:w="110"/>
              <w:bottom w:type="dxa" w:w="90"/>
              <w:right w:type="dxa" w:w="110"/>
            </w:tcMar>
            <w:vAlign w:val="top"/>
          </w:tcPr>
          <w:p>
            <w:pPr>
              <w:spacing w:after="36" w:before="0"/>
            </w:pPr>
            <w:r>
              <w:rPr>
                <w:rFonts w:ascii="Arial" w:cs="Arial" w:eastAsia="Arial" w:hAnsi="Arial"/>
                <w:b/>
                <w:bCs/>
                <w:i w:val="false"/>
                <w:iCs w:val="false"/>
                <w:color w:val="000000"/>
                <w:sz w:val="16"/>
                <w:szCs w:val="16"/>
              </w:rPr>
              <w:t xml:space="preserve">Within-study evidence: </w:t>
            </w:r>
            <w:r>
              <w:rPr>
                <w:rFonts w:ascii="Arial" w:cs="Arial" w:eastAsia="Arial" w:hAnsi="Arial"/>
                <w:b w:val="false"/>
                <w:bCs w:val="false"/>
                <w:i w:val="false"/>
                <w:iCs w:val="false"/>
                <w:color w:val="000000"/>
                <w:sz w:val="16"/>
                <w:szCs w:val="16"/>
              </w:rPr>
              <w:t xml:space="preserve">Willett 2023 — WER 9% (50-word) vs 23% (125k-word) — same system, same participant</w:t>
            </w:r>
          </w:p>
          <w:p>
            <w:pPr>
              <w:spacing w:after="36" w:before="0"/>
            </w:pPr>
            <w:r>
              <w:rPr>
                <w:rFonts w:ascii="Arial" w:cs="Arial" w:eastAsia="Arial" w:hAnsi="Arial"/>
                <w:b/>
                <w:bCs/>
                <w:i w:val="false"/>
                <w:iCs w:val="false"/>
                <w:color w:val="000000"/>
                <w:sz w:val="16"/>
                <w:szCs w:val="16"/>
              </w:rPr>
              <w:t xml:space="preserve">Cross-study contrast: </w:t>
            </w:r>
            <w:r>
              <w:rPr>
                <w:rFonts w:ascii="Arial" w:cs="Arial" w:eastAsia="Arial" w:hAnsi="Arial"/>
                <w:b w:val="false"/>
                <w:bCs w:val="false"/>
                <w:i w:val="false"/>
                <w:iCs w:val="false"/>
                <w:color w:val="000000"/>
                <w:sz w:val="16"/>
                <w:szCs w:val="16"/>
              </w:rPr>
              <w:t xml:space="preserve">EEG closed-set accuracy 70–92% vs EEG open-vocab WER 35–45%</w:t>
            </w:r>
          </w:p>
          <w:p>
            <w:pPr>
              <w:spacing w:after="36" w:before="0"/>
            </w:pPr>
            <w:r>
              <w:rPr>
                <w:rFonts w:ascii="Arial" w:cs="Arial" w:eastAsia="Arial" w:hAnsi="Arial"/>
                <w:b/>
                <w:bCs/>
                <w:i w:val="false"/>
                <w:iCs w:val="false"/>
                <w:color w:val="000000"/>
                <w:sz w:val="16"/>
                <w:szCs w:val="16"/>
              </w:rPr>
              <w:t xml:space="preserve">Baseline effect: </w:t>
            </w:r>
            <w:r>
              <w:rPr>
                <w:rFonts w:ascii="Arial" w:cs="Arial" w:eastAsia="Arial" w:hAnsi="Arial"/>
                <w:b w:val="false"/>
                <w:bCs w:val="false"/>
                <w:i w:val="false"/>
                <w:iCs w:val="false"/>
                <w:color w:val="000000"/>
                <w:sz w:val="16"/>
                <w:szCs w:val="16"/>
              </w:rPr>
              <w:t xml:space="preserve">Makin 2020 WER ~3% on constrained corpus vs open-vocabulary systems</w:t>
            </w:r>
          </w:p>
          <w:p>
            <w:pPr>
              <w:spacing w:after="28" w:before="0"/>
            </w:pPr>
            <w:r>
              <w:rPr>
                <w:rFonts w:ascii="Arial" w:cs="Arial" w:eastAsia="Arial" w:hAnsi="Arial"/>
                <w:b w:val="false"/>
                <w:bCs w:val="false"/>
                <w:i/>
                <w:iCs/>
                <w:color w:val="595959"/>
                <w:sz w:val="14"/>
                <w:szCs w:val="14"/>
              </w:rPr>
              <w:t xml:space="preserve">Studies 3, 34, 38, 39, 42, 46, 50 span full range</w:t>
            </w:r>
          </w:p>
        </w:tc>
        <w:tc>
          <w:tcPr>
            <w:tcW w:type="dxa" w:w="4900"/>
            <w:tcBorders>
              <w:top w:val="single" w:color="CCCCCC" w:sz="1"/>
              <w:left w:val="single" w:color="CCCCCC" w:sz="1"/>
              <w:bottom w:val="single" w:color="CCCCCC" w:sz="1"/>
              <w:right w:val="single" w:color="CCCCCC" w:sz="1"/>
            </w:tcBorders>
            <w:shd w:fill="FFD7D7" w:val="clear"/>
            <w:tcMar>
              <w:top w:type="dxa" w:w="90"/>
              <w:left w:type="dxa" w:w="110"/>
              <w:bottom w:type="dxa" w:w="90"/>
              <w:right w:type="dxa" w:w="110"/>
            </w:tcMar>
            <w:vAlign w:val="top"/>
          </w:tcPr>
          <w:p>
            <w:pPr>
              <w:spacing w:after="0" w:before="0"/>
            </w:pPr>
            <w:r>
              <w:rPr>
                <w:rFonts w:ascii="Arial" w:cs="Arial" w:eastAsia="Arial" w:hAnsi="Arial"/>
                <w:b w:val="false"/>
                <w:bCs w:val="false"/>
                <w:i w:val="false"/>
                <w:iCs w:val="false"/>
                <w:color w:val="000000"/>
                <w:sz w:val="15"/>
                <w:szCs w:val="15"/>
              </w:rPr>
              <w:t xml:space="preserve">Vocabulary size is the single most important factor limiting cross-study WER comparability. A WER of 9% on a 50-word vocabulary is not equivalent to 9% on a 125,000-word vocabulary — the latter is dramatically more challenging and reflects a fundamentally different decoding task. Similarly, closed-set EEG classification accuracies of 70–92% cannot be compared to open-vocabulary EEG WER of 35–45%. Any cross-study performance comparison must first harmonize vocabulary scope. Studies reporting only closed-set accuracy with no open-vocabulary evaluation cannot be used to benchmark field progress toward clinical communication systems.</w:t>
            </w:r>
          </w:p>
        </w:tc>
      </w:tr>
      <w:tr>
        <w:tc>
          <w:tcPr>
            <w:tcW w:type="dxa" w:w="2000"/>
            <w:tcBorders>
              <w:top w:val="single" w:color="CCCCCC" w:sz="1"/>
              <w:left w:val="single" w:color="CCCCCC" w:sz="1"/>
              <w:bottom w:val="single" w:color="CCCCCC" w:sz="1"/>
              <w:right w:val="single" w:color="CCCCCC" w:sz="1"/>
            </w:tcBorders>
            <w:shd w:fill="FFD7D7" w:val="clear"/>
            <w:tcMar>
              <w:top w:type="dxa" w:w="90"/>
              <w:left w:type="dxa" w:w="110"/>
              <w:bottom w:type="dxa" w:w="90"/>
              <w:right w:type="dxa" w:w="110"/>
            </w:tcMar>
            <w:vAlign w:val="top"/>
          </w:tcPr>
          <w:p>
            <w:pPr>
              <w:spacing w:after="20" w:before="0"/>
            </w:pPr>
            <w:r>
              <w:rPr>
                <w:rFonts w:ascii="Arial" w:cs="Arial" w:eastAsia="Arial" w:hAnsi="Arial"/>
                <w:b/>
                <w:bCs/>
                <w:i w:val="false"/>
                <w:iCs w:val="false"/>
                <w:color w:val="000000"/>
                <w:sz w:val="17"/>
                <w:szCs w:val="17"/>
              </w:rPr>
              <w:t xml:space="preserve">2. Decoding task type</w:t>
            </w:r>
          </w:p>
          <w:p>
            <w:pPr>
              <w:spacing w:after="28" w:before="0"/>
            </w:pPr>
            <w:r>
              <w:rPr>
                <w:rFonts w:ascii="Arial" w:cs="Arial" w:eastAsia="Arial" w:hAnsi="Arial"/>
                <w:b w:val="false"/>
                <w:bCs w:val="false"/>
                <w:i/>
                <w:iCs/>
                <w:color w:val="595959"/>
                <w:sz w:val="14"/>
                <w:szCs w:val="14"/>
              </w:rPr>
              <w:t xml:space="preserve">Overt / attempted / imagined (covert) / perceived — fundamentally different neural substrates</w:t>
            </w:r>
          </w:p>
        </w:tc>
        <w:tc>
          <w:tcPr>
            <w:tcW w:type="dxa" w:w="2400"/>
            <w:tcBorders>
              <w:top w:val="single" w:color="CCCCCC" w:sz="1"/>
              <w:left w:val="single" w:color="CCCCCC" w:sz="1"/>
              <w:bottom w:val="single" w:color="CCCCCC" w:sz="1"/>
              <w:right w:val="single" w:color="CCCCCC" w:sz="1"/>
            </w:tcBorders>
            <w:shd w:fill="FFD7D7" w:val="clear"/>
            <w:tcMar>
              <w:top w:type="dxa" w:w="90"/>
              <w:left w:type="dxa" w:w="110"/>
              <w:bottom w:type="dxa" w:w="90"/>
              <w:right w:type="dxa" w:w="110"/>
            </w:tcMar>
            <w:vAlign w:val="top"/>
          </w:tcPr>
          <w:p>
            <w:pPr>
              <w:spacing w:after="28" w:before="0"/>
              <w:ind w:left="220" w:hanging="200"/>
            </w:pPr>
            <w:r>
              <w:rPr>
                <w:rFonts w:ascii="Arial" w:cs="Arial" w:eastAsia="Arial" w:hAnsi="Arial"/>
                <w:b w:val="false"/>
                <w:bCs w:val="false"/>
                <w:i w:val="false"/>
                <w:iCs w:val="false"/>
                <w:color w:val="000000"/>
                <w:sz w:val="15"/>
                <w:szCs w:val="15"/>
              </w:rPr>
              <w:t xml:space="preserve">•  Overt speech: full articulatory execution; strongest neural signal</w:t>
            </w:r>
          </w:p>
          <w:p>
            <w:pPr>
              <w:spacing w:after="28" w:before="0"/>
              <w:ind w:left="220" w:hanging="200"/>
            </w:pPr>
            <w:r>
              <w:rPr>
                <w:rFonts w:ascii="Arial" w:cs="Arial" w:eastAsia="Arial" w:hAnsi="Arial"/>
                <w:b w:val="false"/>
                <w:bCs w:val="false"/>
                <w:i w:val="false"/>
                <w:iCs w:val="false"/>
                <w:color w:val="000000"/>
                <w:sz w:val="15"/>
                <w:szCs w:val="15"/>
              </w:rPr>
              <w:t xml:space="preserve">•  Attempted speech: motor intent without movement (ALS/paralysis)</w:t>
            </w:r>
          </w:p>
          <w:p>
            <w:pPr>
              <w:spacing w:after="28" w:before="0"/>
              <w:ind w:left="220" w:hanging="200"/>
            </w:pPr>
            <w:r>
              <w:rPr>
                <w:rFonts w:ascii="Arial" w:cs="Arial" w:eastAsia="Arial" w:hAnsi="Arial"/>
                <w:b w:val="false"/>
                <w:bCs w:val="false"/>
                <w:i w:val="false"/>
                <w:iCs w:val="false"/>
                <w:color w:val="000000"/>
                <w:sz w:val="15"/>
                <w:szCs w:val="15"/>
              </w:rPr>
              <w:t xml:space="preserve">•  Imagined/covert: mental rehearsal; weakest and most variable signal</w:t>
            </w:r>
          </w:p>
          <w:p>
            <w:pPr>
              <w:spacing w:after="28" w:before="0"/>
              <w:ind w:left="220" w:hanging="200"/>
            </w:pPr>
            <w:r>
              <w:rPr>
                <w:rFonts w:ascii="Arial" w:cs="Arial" w:eastAsia="Arial" w:hAnsi="Arial"/>
                <w:b w:val="false"/>
                <w:bCs w:val="false"/>
                <w:i w:val="false"/>
                <w:iCs w:val="false"/>
                <w:color w:val="000000"/>
                <w:sz w:val="15"/>
                <w:szCs w:val="15"/>
              </w:rPr>
              <w:t xml:space="preserve">•  Perceived: listening paradigm; auditory cortex activation</w:t>
            </w:r>
          </w:p>
          <w:p>
            <w:pPr>
              <w:spacing w:after="28" w:before="0"/>
            </w:pPr>
            <w:r>
              <w:rPr>
                <w:rFonts w:ascii="Arial" w:cs="Arial" w:eastAsia="Arial" w:hAnsi="Arial"/>
                <w:b w:val="false"/>
                <w:bCs w:val="false"/>
                <w:i/>
                <w:iCs/>
                <w:color w:val="595959"/>
                <w:sz w:val="14"/>
                <w:szCs w:val="14"/>
              </w:rPr>
              <w:t xml:space="preserve">All 4 task types present across 71 studies</w:t>
            </w:r>
          </w:p>
        </w:tc>
        <w:tc>
          <w:tcPr>
            <w:tcW w:type="dxa" w:w="1400"/>
            <w:tcBorders>
              <w:top w:val="single" w:color="CCCCCC" w:sz="1"/>
              <w:left w:val="single" w:color="CCCCCC" w:sz="1"/>
              <w:bottom w:val="single" w:color="CCCCCC" w:sz="1"/>
              <w:right w:val="single" w:color="CCCCCC" w:sz="1"/>
            </w:tcBorders>
            <w:shd w:fill="FFD7D7" w:val="clear"/>
            <w:tcMar>
              <w:top w:type="dxa" w:w="90"/>
              <w:left w:type="dxa" w:w="110"/>
              <w:bottom w:type="dxa" w:w="90"/>
              <w:right w:type="dxa" w:w="110"/>
            </w:tcMar>
            <w:vAlign w:val="top"/>
          </w:tcPr>
          <w:p>
            <w:pPr>
              <w:spacing w:after="20" w:before="0"/>
            </w:pPr>
            <w:r>
              <w:rPr>
                <w:rFonts w:ascii="Arial" w:cs="Arial" w:eastAsia="Arial" w:hAnsi="Arial"/>
                <w:b/>
                <w:bCs/>
                <w:i w:val="false"/>
                <w:iCs w:val="false"/>
                <w:color w:val="000000"/>
                <w:sz w:val="15"/>
                <w:szCs w:val="15"/>
              </w:rPr>
              <w:t xml:space="preserve">Overt &gt; Attempted &gt; Perceived &gt; Imagined</w:t>
            </w:r>
          </w:p>
          <w:p>
            <w:pPr>
              <w:spacing w:after="28" w:before="0"/>
              <w:ind w:left="220" w:hanging="200"/>
            </w:pPr>
            <w:r>
              <w:rPr>
                <w:rFonts w:ascii="Arial" w:cs="Arial" w:eastAsia="Arial" w:hAnsi="Arial"/>
                <w:b w:val="false"/>
                <w:bCs w:val="false"/>
                <w:i w:val="false"/>
                <w:iCs w:val="false"/>
                <w:color w:val="000000"/>
                <w:sz w:val="15"/>
                <w:szCs w:val="15"/>
              </w:rPr>
              <w:t xml:space="preserve">•  WER typically 5–15% higher for imagined vs overt</w:t>
            </w:r>
          </w:p>
          <w:p>
            <w:pPr>
              <w:spacing w:after="28" w:before="0"/>
              <w:ind w:left="220" w:hanging="200"/>
            </w:pPr>
            <w:r>
              <w:rPr>
                <w:rFonts w:ascii="Arial" w:cs="Arial" w:eastAsia="Arial" w:hAnsi="Arial"/>
                <w:b w:val="false"/>
                <w:bCs w:val="false"/>
                <w:i w:val="false"/>
                <w:iCs w:val="false"/>
                <w:color w:val="000000"/>
                <w:sz w:val="15"/>
                <w:szCs w:val="15"/>
              </w:rPr>
              <w:t xml:space="preserve">•  Accuracy 10–20% lower for imagined vs overt in EEG studies</w:t>
            </w:r>
          </w:p>
          <w:p>
            <w:pPr>
              <w:spacing w:after="0" w:before="0"/>
            </w:pPr>
            <w:r>
              <w:rPr>
                <w:rFonts w:ascii="Arial" w:cs="Arial" w:eastAsia="Arial" w:hAnsi="Arial"/>
                <w:b w:val="false"/>
                <w:bCs w:val="false"/>
                <w:i/>
                <w:iCs/>
                <w:color w:val="000000"/>
                <w:sz w:val="15"/>
                <w:szCs w:val="15"/>
              </w:rPr>
              <w:t xml:space="preserve">Direction: imagined speech is harder than overt across all modalities.</w:t>
            </w:r>
          </w:p>
        </w:tc>
        <w:tc>
          <w:tcPr>
            <w:tcW w:type="dxa" w:w="900"/>
            <w:tcBorders>
              <w:top w:val="single" w:color="CCCCCC" w:sz="1"/>
              <w:left w:val="single" w:color="CCCCCC" w:sz="1"/>
              <w:bottom w:val="single" w:color="CCCCCC" w:sz="1"/>
              <w:right w:val="single" w:color="CCCCCC" w:sz="1"/>
            </w:tcBorders>
            <w:shd w:fill="C0392B" w:val="clear"/>
            <w:tcMar>
              <w:top w:type="dxa" w:w="90"/>
              <w:left w:type="dxa" w:w="80"/>
              <w:bottom w:type="dxa" w:w="90"/>
              <w:right w:type="dxa" w:w="80"/>
            </w:tcMar>
            <w:vAlign w:val="center"/>
          </w:tcPr>
          <w:p>
            <w:pPr>
              <w:spacing w:after="0" w:before="0"/>
              <w:jc w:val="center"/>
            </w:pPr>
            <w:r>
              <w:rPr>
                <w:rFonts w:ascii="Arial" w:cs="Arial" w:eastAsia="Arial" w:hAnsi="Arial"/>
                <w:b/>
                <w:bCs/>
                <w:i w:val="false"/>
                <w:iCs w:val="false"/>
                <w:color w:val="FFFFFF"/>
                <w:sz w:val="15"/>
                <w:szCs w:val="15"/>
              </w:rPr>
              <w:t xml:space="preserve">CRITICAL</w:t>
            </w:r>
          </w:p>
        </w:tc>
        <w:tc>
          <w:tcPr>
            <w:tcW w:type="dxa" w:w="2800"/>
            <w:tcBorders>
              <w:top w:val="single" w:color="CCCCCC" w:sz="1"/>
              <w:left w:val="single" w:color="CCCCCC" w:sz="1"/>
              <w:bottom w:val="single" w:color="CCCCCC" w:sz="1"/>
              <w:right w:val="single" w:color="CCCCCC" w:sz="1"/>
            </w:tcBorders>
            <w:shd w:fill="FFD7D7" w:val="clear"/>
            <w:tcMar>
              <w:top w:type="dxa" w:w="90"/>
              <w:left w:type="dxa" w:w="110"/>
              <w:bottom w:type="dxa" w:w="90"/>
              <w:right w:type="dxa" w:w="110"/>
            </w:tcMar>
            <w:vAlign w:val="top"/>
          </w:tcPr>
          <w:p>
            <w:pPr>
              <w:spacing w:after="36" w:before="0"/>
            </w:pPr>
            <w:r>
              <w:rPr>
                <w:rFonts w:ascii="Arial" w:cs="Arial" w:eastAsia="Arial" w:hAnsi="Arial"/>
                <w:b/>
                <w:bCs/>
                <w:i w:val="false"/>
                <w:iCs w:val="false"/>
                <w:color w:val="000000"/>
                <w:sz w:val="16"/>
                <w:szCs w:val="16"/>
              </w:rPr>
              <w:t xml:space="preserve">Quantified: </w:t>
            </w:r>
            <w:r>
              <w:rPr>
                <w:rFonts w:ascii="Arial" w:cs="Arial" w:eastAsia="Arial" w:hAnsi="Arial"/>
                <w:b w:val="false"/>
                <w:bCs w:val="false"/>
                <w:i w:val="false"/>
                <w:iCs w:val="false"/>
                <w:color w:val="000000"/>
                <w:sz w:val="16"/>
                <w:szCs w:val="16"/>
              </w:rPr>
              <w:t xml:space="preserve">de Borman 2024 — ECoG overt→imagined transfer shows measurable performance drop across 16 participants</w:t>
            </w:r>
          </w:p>
          <w:p>
            <w:pPr>
              <w:spacing w:after="36" w:before="0"/>
            </w:pPr>
            <w:r>
              <w:rPr>
                <w:rFonts w:ascii="Arial" w:cs="Arial" w:eastAsia="Arial" w:hAnsi="Arial"/>
                <w:b/>
                <w:bCs/>
                <w:i w:val="false"/>
                <w:iCs w:val="false"/>
                <w:color w:val="000000"/>
                <w:sz w:val="16"/>
                <w:szCs w:val="16"/>
              </w:rPr>
              <w:t xml:space="preserve">Contrast: </w:t>
            </w:r>
            <w:r>
              <w:rPr>
                <w:rFonts w:ascii="Arial" w:cs="Arial" w:eastAsia="Arial" w:hAnsi="Arial"/>
                <w:b w:val="false"/>
                <w:bCs w:val="false"/>
                <w:i w:val="false"/>
                <w:iCs w:val="false"/>
                <w:color w:val="000000"/>
                <w:sz w:val="16"/>
                <w:szCs w:val="16"/>
              </w:rPr>
              <w:t xml:space="preserve">Angrick 2021 (imagined sEEG) vs Moses 2021 (attempted ECoG) — different tasks, different signal properties</w:t>
            </w:r>
          </w:p>
          <w:p>
            <w:pPr>
              <w:spacing w:after="36" w:before="0"/>
            </w:pPr>
            <w:r>
              <w:rPr>
                <w:rFonts w:ascii="Arial" w:cs="Arial" w:eastAsia="Arial" w:hAnsi="Arial"/>
                <w:b/>
                <w:bCs/>
                <w:i w:val="false"/>
                <w:iCs w:val="false"/>
                <w:color w:val="000000"/>
                <w:sz w:val="16"/>
                <w:szCs w:val="16"/>
              </w:rPr>
              <w:t xml:space="preserve">EEG: </w:t>
            </w:r>
            <w:r>
              <w:rPr>
                <w:rFonts w:ascii="Arial" w:cs="Arial" w:eastAsia="Arial" w:hAnsi="Arial"/>
                <w:b w:val="false"/>
                <w:bCs w:val="false"/>
                <w:i w:val="false"/>
                <w:iCs w:val="false"/>
                <w:color w:val="000000"/>
                <w:sz w:val="16"/>
                <w:szCs w:val="16"/>
              </w:rPr>
              <w:t xml:space="preserve">Most EEG imagined speech studies report much lower accuracy than overt speech studies on comparable participants</w:t>
            </w:r>
          </w:p>
          <w:p>
            <w:pPr>
              <w:spacing w:after="28" w:before="0"/>
            </w:pPr>
            <w:r>
              <w:rPr>
                <w:rFonts w:ascii="Arial" w:cs="Arial" w:eastAsia="Arial" w:hAnsi="Arial"/>
                <w:b w:val="false"/>
                <w:bCs w:val="false"/>
                <w:i/>
                <w:iCs/>
                <w:color w:val="595959"/>
                <w:sz w:val="14"/>
                <w:szCs w:val="14"/>
              </w:rPr>
              <w:t xml:space="preserve">Studies 5,8,20,21,33,34,40,42,44,45 cover imagined; studies 1,9,15,25 cover overt</w:t>
            </w:r>
          </w:p>
        </w:tc>
        <w:tc>
          <w:tcPr>
            <w:tcW w:type="dxa" w:w="4900"/>
            <w:tcBorders>
              <w:top w:val="single" w:color="CCCCCC" w:sz="1"/>
              <w:left w:val="single" w:color="CCCCCC" w:sz="1"/>
              <w:bottom w:val="single" w:color="CCCCCC" w:sz="1"/>
              <w:right w:val="single" w:color="CCCCCC" w:sz="1"/>
            </w:tcBorders>
            <w:shd w:fill="FFD7D7" w:val="clear"/>
            <w:tcMar>
              <w:top w:type="dxa" w:w="90"/>
              <w:left w:type="dxa" w:w="110"/>
              <w:bottom w:type="dxa" w:w="90"/>
              <w:right w:type="dxa" w:w="110"/>
            </w:tcMar>
            <w:vAlign w:val="top"/>
          </w:tcPr>
          <w:p>
            <w:pPr>
              <w:spacing w:after="0" w:before="0"/>
            </w:pPr>
            <w:r>
              <w:rPr>
                <w:rFonts w:ascii="Arial" w:cs="Arial" w:eastAsia="Arial" w:hAnsi="Arial"/>
                <w:b w:val="false"/>
                <w:bCs w:val="false"/>
                <w:i w:val="false"/>
                <w:iCs w:val="false"/>
                <w:color w:val="000000"/>
                <w:sz w:val="15"/>
                <w:szCs w:val="15"/>
              </w:rPr>
              <w:t xml:space="preserve">Decoding overt speech and decoding imagined speech are neurophysiologically distinct tasks. Overt speech activates both motor production and sensory feedback pathways; imagined speech engages only motor planning circuits without articulatory output or acoustic feedback, producing a weaker and more variable neural signal. Performance benchmarks cannot be meaningfully compared across these task types without explicit acknowledgment that imagined speech decoding is substantially more difficult — a factor that partially explains why invasive overt speech systems achieve WER &lt;10% while non-invasive EEG imagined speech systems report WER 35–45% even when using comparable AI architectures.</w:t>
            </w:r>
          </w:p>
        </w:tc>
      </w:tr>
      <w:tr>
        <w:tc>
          <w:tcPr>
            <w:tcW w:type="dxa" w:w="2000"/>
            <w:tcBorders>
              <w:top w:val="single" w:color="CCCCCC" w:sz="1"/>
              <w:left w:val="single" w:color="CCCCCC" w:sz="1"/>
              <w:bottom w:val="single" w:color="CCCCCC" w:sz="1"/>
              <w:right w:val="single" w:color="CCCCCC" w:sz="1"/>
            </w:tcBorders>
            <w:shd w:fill="FFD7D7" w:val="clear"/>
            <w:tcMar>
              <w:top w:type="dxa" w:w="90"/>
              <w:left w:type="dxa" w:w="110"/>
              <w:bottom w:type="dxa" w:w="90"/>
              <w:right w:type="dxa" w:w="110"/>
            </w:tcMar>
            <w:vAlign w:val="top"/>
          </w:tcPr>
          <w:p>
            <w:pPr>
              <w:spacing w:after="20" w:before="0"/>
            </w:pPr>
            <w:r>
              <w:rPr>
                <w:rFonts w:ascii="Arial" w:cs="Arial" w:eastAsia="Arial" w:hAnsi="Arial"/>
                <w:b/>
                <w:bCs/>
                <w:i w:val="false"/>
                <w:iCs w:val="false"/>
                <w:color w:val="000000"/>
                <w:sz w:val="17"/>
                <w:szCs w:val="17"/>
              </w:rPr>
              <w:t xml:space="preserve">3. Performance
metric type</w:t>
            </w:r>
          </w:p>
          <w:p>
            <w:pPr>
              <w:spacing w:after="28" w:before="0"/>
            </w:pPr>
            <w:r>
              <w:rPr>
                <w:rFonts w:ascii="Arial" w:cs="Arial" w:eastAsia="Arial" w:hAnsi="Arial"/>
                <w:b w:val="false"/>
                <w:bCs w:val="false"/>
                <w:i/>
                <w:iCs/>
                <w:color w:val="595959"/>
                <w:sz w:val="14"/>
                <w:szCs w:val="14"/>
              </w:rPr>
              <w:t xml:space="preserve">WER / accuracy / PCC / WPM / CER / BLEU / MOS / story ID — fundamentally different measurement targets</w:t>
            </w:r>
          </w:p>
        </w:tc>
        <w:tc>
          <w:tcPr>
            <w:tcW w:type="dxa" w:w="2400"/>
            <w:tcBorders>
              <w:top w:val="single" w:color="CCCCCC" w:sz="1"/>
              <w:left w:val="single" w:color="CCCCCC" w:sz="1"/>
              <w:bottom w:val="single" w:color="CCCCCC" w:sz="1"/>
              <w:right w:val="single" w:color="CCCCCC" w:sz="1"/>
            </w:tcBorders>
            <w:shd w:fill="FFD7D7" w:val="clear"/>
            <w:tcMar>
              <w:top w:type="dxa" w:w="90"/>
              <w:left w:type="dxa" w:w="110"/>
              <w:bottom w:type="dxa" w:w="90"/>
              <w:right w:type="dxa" w:w="110"/>
            </w:tcMar>
            <w:vAlign w:val="top"/>
          </w:tcPr>
          <w:p>
            <w:pPr>
              <w:spacing w:after="28" w:before="0"/>
              <w:ind w:left="220" w:hanging="200"/>
            </w:pPr>
            <w:r>
              <w:rPr>
                <w:rFonts w:ascii="Arial" w:cs="Arial" w:eastAsia="Arial" w:hAnsi="Arial"/>
                <w:b w:val="false"/>
                <w:bCs w:val="false"/>
                <w:i w:val="false"/>
                <w:iCs w:val="false"/>
                <w:color w:val="000000"/>
                <w:sz w:val="15"/>
                <w:szCs w:val="15"/>
              </w:rPr>
              <w:t xml:space="preserve">•  WER (word error rate): text decoding</w:t>
            </w:r>
          </w:p>
          <w:p>
            <w:pPr>
              <w:spacing w:after="28" w:before="0"/>
              <w:ind w:left="220" w:hanging="200"/>
            </w:pPr>
            <w:r>
              <w:rPr>
                <w:rFonts w:ascii="Arial" w:cs="Arial" w:eastAsia="Arial" w:hAnsi="Arial"/>
                <w:b w:val="false"/>
                <w:bCs w:val="false"/>
                <w:i w:val="false"/>
                <w:iCs w:val="false"/>
                <w:color w:val="000000"/>
                <w:sz w:val="15"/>
                <w:szCs w:val="15"/>
              </w:rPr>
              <w:t xml:space="preserve">•  Classification accuracy (%): closed-set decoding</w:t>
            </w:r>
          </w:p>
          <w:p>
            <w:pPr>
              <w:spacing w:after="28" w:before="0"/>
              <w:ind w:left="220" w:hanging="200"/>
            </w:pPr>
            <w:r>
              <w:rPr>
                <w:rFonts w:ascii="Arial" w:cs="Arial" w:eastAsia="Arial" w:hAnsi="Arial"/>
                <w:b w:val="false"/>
                <w:bCs w:val="false"/>
                <w:i w:val="false"/>
                <w:iCs w:val="false"/>
                <w:color w:val="000000"/>
                <w:sz w:val="15"/>
                <w:szCs w:val="15"/>
              </w:rPr>
              <w:t xml:space="preserve">•  PCC (Pearson r): acoustic reconstruction quality</w:t>
            </w:r>
          </w:p>
          <w:p>
            <w:pPr>
              <w:spacing w:after="28" w:before="0"/>
              <w:ind w:left="220" w:hanging="200"/>
            </w:pPr>
            <w:r>
              <w:rPr>
                <w:rFonts w:ascii="Arial" w:cs="Arial" w:eastAsia="Arial" w:hAnsi="Arial"/>
                <w:b w:val="false"/>
                <w:bCs w:val="false"/>
                <w:i w:val="false"/>
                <w:iCs w:val="false"/>
                <w:color w:val="000000"/>
                <w:sz w:val="15"/>
                <w:szCs w:val="15"/>
              </w:rPr>
              <w:t xml:space="preserve">•  WPM: communication rate</w:t>
            </w:r>
          </w:p>
          <w:p>
            <w:pPr>
              <w:spacing w:after="28" w:before="0"/>
              <w:ind w:left="220" w:hanging="200"/>
            </w:pPr>
            <w:r>
              <w:rPr>
                <w:rFonts w:ascii="Arial" w:cs="Arial" w:eastAsia="Arial" w:hAnsi="Arial"/>
                <w:b w:val="false"/>
                <w:bCs w:val="false"/>
                <w:i w:val="false"/>
                <w:iCs w:val="false"/>
                <w:color w:val="000000"/>
                <w:sz w:val="15"/>
                <w:szCs w:val="15"/>
              </w:rPr>
              <w:t xml:space="preserve">•  CER (character error rate): character-level text</w:t>
            </w:r>
          </w:p>
          <w:p>
            <w:pPr>
              <w:spacing w:after="28" w:before="0"/>
              <w:ind w:left="220" w:hanging="200"/>
            </w:pPr>
            <w:r>
              <w:rPr>
                <w:rFonts w:ascii="Arial" w:cs="Arial" w:eastAsia="Arial" w:hAnsi="Arial"/>
                <w:b w:val="false"/>
                <w:bCs w:val="false"/>
                <w:i w:val="false"/>
                <w:iCs w:val="false"/>
                <w:color w:val="000000"/>
                <w:sz w:val="15"/>
                <w:szCs w:val="15"/>
              </w:rPr>
              <w:t xml:space="preserve">•  BLEU / ROUGE: text generation quality</w:t>
            </w:r>
          </w:p>
          <w:p>
            <w:pPr>
              <w:spacing w:after="28" w:before="0"/>
              <w:ind w:left="220" w:hanging="200"/>
            </w:pPr>
            <w:r>
              <w:rPr>
                <w:rFonts w:ascii="Arial" w:cs="Arial" w:eastAsia="Arial" w:hAnsi="Arial"/>
                <w:b w:val="false"/>
                <w:bCs w:val="false"/>
                <w:i w:val="false"/>
                <w:iCs w:val="false"/>
                <w:color w:val="000000"/>
                <w:sz w:val="15"/>
                <w:szCs w:val="15"/>
              </w:rPr>
              <w:t xml:space="preserve">•  MOS / listener intelligibility: speech synthesis</w:t>
            </w:r>
          </w:p>
          <w:p>
            <w:pPr>
              <w:spacing w:after="28" w:before="0"/>
              <w:ind w:left="220" w:hanging="200"/>
            </w:pPr>
            <w:r>
              <w:rPr>
                <w:rFonts w:ascii="Arial" w:cs="Arial" w:eastAsia="Arial" w:hAnsi="Arial"/>
                <w:b w:val="false"/>
                <w:bCs w:val="false"/>
                <w:i w:val="false"/>
                <w:iCs w:val="false"/>
                <w:color w:val="000000"/>
                <w:sz w:val="15"/>
                <w:szCs w:val="15"/>
              </w:rPr>
              <w:t xml:space="preserve">•  Top-k accuracy: perception classification</w:t>
            </w:r>
          </w:p>
          <w:p>
            <w:pPr>
              <w:spacing w:after="28" w:before="0"/>
              <w:ind w:left="220" w:hanging="200"/>
            </w:pPr>
            <w:r>
              <w:rPr>
                <w:rFonts w:ascii="Arial" w:cs="Arial" w:eastAsia="Arial" w:hAnsi="Arial"/>
                <w:b w:val="false"/>
                <w:bCs w:val="false"/>
                <w:i w:val="false"/>
                <w:iCs w:val="false"/>
                <w:color w:val="000000"/>
                <w:sz w:val="15"/>
                <w:szCs w:val="15"/>
              </w:rPr>
              <w:t xml:space="preserve">•  Story / sentence identification: semantic decoding</w:t>
            </w:r>
          </w:p>
          <w:p>
            <w:pPr>
              <w:spacing w:after="28" w:before="0"/>
            </w:pPr>
            <w:r>
              <w:rPr>
                <w:rFonts w:ascii="Arial" w:cs="Arial" w:eastAsia="Arial" w:hAnsi="Arial"/>
                <w:b w:val="false"/>
                <w:bCs w:val="false"/>
                <w:i/>
                <w:iCs/>
                <w:color w:val="595959"/>
                <w:sz w:val="14"/>
                <w:szCs w:val="14"/>
              </w:rPr>
              <w:t xml:space="preserve">9 distinct primary metric types across 71 studies</w:t>
            </w:r>
          </w:p>
        </w:tc>
        <w:tc>
          <w:tcPr>
            <w:tcW w:type="dxa" w:w="1400"/>
            <w:tcBorders>
              <w:top w:val="single" w:color="CCCCCC" w:sz="1"/>
              <w:left w:val="single" w:color="CCCCCC" w:sz="1"/>
              <w:bottom w:val="single" w:color="CCCCCC" w:sz="1"/>
              <w:right w:val="single" w:color="CCCCCC" w:sz="1"/>
            </w:tcBorders>
            <w:shd w:fill="FFD7D7" w:val="clear"/>
            <w:tcMar>
              <w:top w:type="dxa" w:w="90"/>
              <w:left w:type="dxa" w:w="110"/>
              <w:bottom w:type="dxa" w:w="90"/>
              <w:right w:type="dxa" w:w="110"/>
            </w:tcMar>
            <w:vAlign w:val="top"/>
          </w:tcPr>
          <w:p>
            <w:pPr>
              <w:spacing w:after="20" w:before="0"/>
            </w:pPr>
            <w:r>
              <w:rPr>
                <w:rFonts w:ascii="Arial" w:cs="Arial" w:eastAsia="Arial" w:hAnsi="Arial"/>
                <w:b/>
                <w:bCs/>
                <w:i w:val="false"/>
                <w:iCs w:val="false"/>
                <w:color w:val="000000"/>
                <w:sz w:val="15"/>
                <w:szCs w:val="15"/>
              </w:rPr>
              <w:t xml:space="preserve">Metrics are incommensurable — no direction applies.</w:t>
            </w:r>
          </w:p>
          <w:p>
            <w:pPr>
              <w:spacing w:after="0" w:before="0"/>
            </w:pPr>
            <w:r>
              <w:rPr>
                <w:rFonts w:ascii="Arial" w:cs="Arial" w:eastAsia="Arial" w:hAnsi="Arial"/>
                <w:b w:val="false"/>
                <w:bCs w:val="false"/>
                <w:i/>
                <w:iCs/>
                <w:color w:val="000000"/>
                <w:sz w:val="15"/>
                <w:szCs w:val="15"/>
              </w:rPr>
              <w:t xml:space="preserve">A study reporting PCC=0.87 and a study reporting WER=9% measure entirely different aspects of decoding quality and cannot be placed on a single performance scale.</w:t>
            </w:r>
          </w:p>
        </w:tc>
        <w:tc>
          <w:tcPr>
            <w:tcW w:type="dxa" w:w="900"/>
            <w:tcBorders>
              <w:top w:val="single" w:color="CCCCCC" w:sz="1"/>
              <w:left w:val="single" w:color="CCCCCC" w:sz="1"/>
              <w:bottom w:val="single" w:color="CCCCCC" w:sz="1"/>
              <w:right w:val="single" w:color="CCCCCC" w:sz="1"/>
            </w:tcBorders>
            <w:shd w:fill="C0392B" w:val="clear"/>
            <w:tcMar>
              <w:top w:type="dxa" w:w="90"/>
              <w:left w:type="dxa" w:w="80"/>
              <w:bottom w:type="dxa" w:w="90"/>
              <w:right w:type="dxa" w:w="80"/>
            </w:tcMar>
            <w:vAlign w:val="center"/>
          </w:tcPr>
          <w:p>
            <w:pPr>
              <w:spacing w:after="0" w:before="0"/>
              <w:jc w:val="center"/>
            </w:pPr>
            <w:r>
              <w:rPr>
                <w:rFonts w:ascii="Arial" w:cs="Arial" w:eastAsia="Arial" w:hAnsi="Arial"/>
                <w:b/>
                <w:bCs/>
                <w:i w:val="false"/>
                <w:iCs w:val="false"/>
                <w:color w:val="FFFFFF"/>
                <w:sz w:val="15"/>
                <w:szCs w:val="15"/>
              </w:rPr>
              <w:t xml:space="preserve">CRITICAL</w:t>
            </w:r>
          </w:p>
        </w:tc>
        <w:tc>
          <w:tcPr>
            <w:tcW w:type="dxa" w:w="2800"/>
            <w:tcBorders>
              <w:top w:val="single" w:color="CCCCCC" w:sz="1"/>
              <w:left w:val="single" w:color="CCCCCC" w:sz="1"/>
              <w:bottom w:val="single" w:color="CCCCCC" w:sz="1"/>
              <w:right w:val="single" w:color="CCCCCC" w:sz="1"/>
            </w:tcBorders>
            <w:shd w:fill="FFD7D7" w:val="clear"/>
            <w:tcMar>
              <w:top w:type="dxa" w:w="90"/>
              <w:left w:type="dxa" w:w="110"/>
              <w:bottom w:type="dxa" w:w="90"/>
              <w:right w:type="dxa" w:w="110"/>
            </w:tcMar>
            <w:vAlign w:val="top"/>
          </w:tcPr>
          <w:p>
            <w:pPr>
              <w:spacing w:after="36" w:before="0"/>
            </w:pPr>
            <w:r>
              <w:rPr>
                <w:rFonts w:ascii="Arial" w:cs="Arial" w:eastAsia="Arial" w:hAnsi="Arial"/>
                <w:b/>
                <w:bCs/>
                <w:i w:val="false"/>
                <w:iCs w:val="false"/>
                <w:color w:val="000000"/>
                <w:sz w:val="16"/>
                <w:szCs w:val="16"/>
              </w:rPr>
              <w:t xml:space="preserve">Example contrast: </w:t>
            </w:r>
            <w:r>
              <w:rPr>
                <w:rFonts w:ascii="Arial" w:cs="Arial" w:eastAsia="Arial" w:hAnsi="Arial"/>
                <w:b w:val="false"/>
                <w:bCs w:val="false"/>
                <w:i w:val="false"/>
                <w:iCs w:val="false"/>
                <w:color w:val="000000"/>
                <w:sz w:val="16"/>
                <w:szCs w:val="16"/>
              </w:rPr>
              <w:t xml:space="preserve">Card 2024 WER 2.5% vs Chartier 2018 PCC 0.87 vs Tang 2023 100% story ID vs Song 2023 CER 3.11%</w:t>
            </w:r>
          </w:p>
          <w:p>
            <w:pPr>
              <w:spacing w:after="36" w:before="0"/>
            </w:pPr>
            <w:r>
              <w:rPr>
                <w:rFonts w:ascii="Arial" w:cs="Arial" w:eastAsia="Arial" w:hAnsi="Arial"/>
                <w:b/>
                <w:bCs/>
                <w:i w:val="false"/>
                <w:iCs w:val="false"/>
                <w:color w:val="000000"/>
                <w:sz w:val="16"/>
                <w:szCs w:val="16"/>
              </w:rPr>
              <w:t xml:space="preserve">Same metric, different scope: </w:t>
            </w:r>
            <w:r>
              <w:rPr>
                <w:rFonts w:ascii="Arial" w:cs="Arial" w:eastAsia="Arial" w:hAnsi="Arial"/>
                <w:b w:val="false"/>
                <w:bCs w:val="false"/>
                <w:i w:val="false"/>
                <w:iCs w:val="false"/>
                <w:color w:val="000000"/>
                <w:sz w:val="16"/>
                <w:szCs w:val="16"/>
              </w:rPr>
              <w:t xml:space="preserve">d'Ascoli 2025 top-1 word accuracy vs Défossez 2023 top-1 segment accuracy — different decoding granularities</w:t>
            </w:r>
          </w:p>
          <w:p>
            <w:pPr>
              <w:spacing w:after="36" w:before="0"/>
            </w:pPr>
            <w:r>
              <w:rPr>
                <w:rFonts w:ascii="Arial" w:cs="Arial" w:eastAsia="Arial" w:hAnsi="Arial"/>
                <w:b/>
                <w:bCs/>
                <w:i w:val="false"/>
                <w:iCs w:val="false"/>
                <w:color w:val="000000"/>
                <w:sz w:val="16"/>
                <w:szCs w:val="16"/>
              </w:rPr>
              <w:t xml:space="preserve">No conversion: </w:t>
            </w:r>
            <w:r>
              <w:rPr>
                <w:rFonts w:ascii="Arial" w:cs="Arial" w:eastAsia="Arial" w:hAnsi="Arial"/>
                <w:b w:val="false"/>
                <w:bCs w:val="false"/>
                <w:i w:val="false"/>
                <w:iCs w:val="false"/>
                <w:color w:val="000000"/>
                <w:sz w:val="16"/>
                <w:szCs w:val="16"/>
              </w:rPr>
              <w:t xml:space="preserve">No standardized method exists to convert PCC to WER or BLEU to classification accuracy</w:t>
            </w:r>
          </w:p>
          <w:p>
            <w:pPr>
              <w:spacing w:after="28" w:before="0"/>
            </w:pPr>
            <w:r>
              <w:rPr>
                <w:rFonts w:ascii="Arial" w:cs="Arial" w:eastAsia="Arial" w:hAnsi="Arial"/>
                <w:b w:val="false"/>
                <w:bCs w:val="false"/>
                <w:i/>
                <w:iCs/>
                <w:color w:val="595959"/>
                <w:sz w:val="14"/>
                <w:szCs w:val="14"/>
              </w:rPr>
              <w:t xml:space="preserve">Metric heterogeneity across all 71 studies is documented in Appendix B</w:t>
            </w:r>
          </w:p>
        </w:tc>
        <w:tc>
          <w:tcPr>
            <w:tcW w:type="dxa" w:w="4900"/>
            <w:tcBorders>
              <w:top w:val="single" w:color="CCCCCC" w:sz="1"/>
              <w:left w:val="single" w:color="CCCCCC" w:sz="1"/>
              <w:bottom w:val="single" w:color="CCCCCC" w:sz="1"/>
              <w:right w:val="single" w:color="CCCCCC" w:sz="1"/>
            </w:tcBorders>
            <w:shd w:fill="FFD7D7" w:val="clear"/>
            <w:tcMar>
              <w:top w:type="dxa" w:w="90"/>
              <w:left w:type="dxa" w:w="110"/>
              <w:bottom w:type="dxa" w:w="90"/>
              <w:right w:type="dxa" w:w="110"/>
            </w:tcMar>
            <w:vAlign w:val="top"/>
          </w:tcPr>
          <w:p>
            <w:pPr>
              <w:spacing w:after="0" w:before="0"/>
            </w:pPr>
            <w:r>
              <w:rPr>
                <w:rFonts w:ascii="Arial" w:cs="Arial" w:eastAsia="Arial" w:hAnsi="Arial"/>
                <w:b w:val="false"/>
                <w:bCs w:val="false"/>
                <w:i w:val="false"/>
                <w:iCs w:val="false"/>
                <w:color w:val="000000"/>
                <w:sz w:val="15"/>
                <w:szCs w:val="15"/>
              </w:rPr>
              <w:t xml:space="preserve">The use of nine distinct primary metric types across 71 studies is the most fundamental barrier to cross-study performance synthesis in this review. Unlike clinical trials where pre-specified primary outcomes enable pooling, this literature has no standard evaluation protocol. WER, the most clinically meaningful metric, is reported by fewer than 40% of included studies — most EEG and fMRI studies report classification accuracy or semantic similarity metrics that cannot be directly compared to WER. This fragmentation prevents a meaningful answer to the question 'which modality performs best' without metric-stratified analysis, which Table 2 of this review provides.</w:t>
            </w:r>
          </w:p>
        </w:tc>
      </w:tr>
      <w:tr>
        <w:tc>
          <w:tcPr>
            <w:tcW w:type="dxa" w:w="14400"/>
            <w:gridSpan w:val="6"/>
            <w:tcBorders>
              <w:top w:val="single" w:color="1F4E79" w:sz="4"/>
              <w:left w:val="single" w:color="CCCCCC" w:sz="1"/>
              <w:bottom w:val="single" w:color="1F4E79" w:sz="4"/>
              <w:right w:val="single" w:color="CCCCCC" w:sz="1"/>
            </w:tcBorders>
            <w:shd w:fill="1F4E79" w:val="clear"/>
            <w:tcMar>
              <w:top w:type="dxa" w:w="60"/>
              <w:left w:type="dxa" w:w="120"/>
              <w:bottom w:type="dxa" w:w="60"/>
              <w:right w:type="dxa" w:w="120"/>
            </w:tcMar>
          </w:tcPr>
          <w:p>
            <w:pPr>
              <w:spacing w:after="0" w:before="0"/>
            </w:pPr>
            <w:r>
              <w:rPr>
                <w:rFonts w:ascii="Arial" w:cs="Arial" w:eastAsia="Arial" w:hAnsi="Arial"/>
                <w:b/>
                <w:bCs/>
                <w:i w:val="false"/>
                <w:iCs w:val="false"/>
                <w:color w:val="FFFFFF"/>
                <w:sz w:val="17"/>
                <w:szCs w:val="17"/>
              </w:rPr>
              <w:t xml:space="preserve">SECTION B — POPULATION AND SAMPLE FACTORS</w:t>
            </w:r>
          </w:p>
        </w:tc>
      </w:tr>
      <w:tr>
        <w:tc>
          <w:tcPr>
            <w:tcW w:type="dxa" w:w="20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20" w:before="0"/>
            </w:pPr>
            <w:r>
              <w:rPr>
                <w:rFonts w:ascii="Arial" w:cs="Arial" w:eastAsia="Arial" w:hAnsi="Arial"/>
                <w:b/>
                <w:bCs/>
                <w:i w:val="false"/>
                <w:iCs w:val="false"/>
                <w:color w:val="000000"/>
                <w:sz w:val="17"/>
                <w:szCs w:val="17"/>
              </w:rPr>
              <w:t xml:space="preserve">4. Participant
sample size</w:t>
            </w:r>
          </w:p>
          <w:p>
            <w:pPr>
              <w:spacing w:after="28" w:before="0"/>
            </w:pPr>
            <w:r>
              <w:rPr>
                <w:rFonts w:ascii="Arial" w:cs="Arial" w:eastAsia="Arial" w:hAnsi="Arial"/>
                <w:b w:val="false"/>
                <w:bCs w:val="false"/>
                <w:i/>
                <w:iCs/>
                <w:color w:val="595959"/>
                <w:sz w:val="14"/>
                <w:szCs w:val="14"/>
              </w:rPr>
              <w:t xml:space="preserve">Number of participants in evaluation; single-participant vs multi-participant studies</w:t>
            </w:r>
          </w:p>
        </w:tc>
        <w:tc>
          <w:tcPr>
            <w:tcW w:type="dxa" w:w="24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28" w:before="0"/>
              <w:ind w:left="220" w:hanging="200"/>
            </w:pPr>
            <w:r>
              <w:rPr>
                <w:rFonts w:ascii="Arial" w:cs="Arial" w:eastAsia="Arial" w:hAnsi="Arial"/>
                <w:b w:val="false"/>
                <w:bCs w:val="false"/>
                <w:i w:val="false"/>
                <w:iCs w:val="false"/>
                <w:color w:val="000000"/>
                <w:sz w:val="15"/>
                <w:szCs w:val="15"/>
              </w:rPr>
              <w:t xml:space="preserve">•  n=1: most invasive clinical neuroprosthesis studies (Card 2024, Willett 2023, Moses 2021, Metzger 2023)</w:t>
            </w:r>
          </w:p>
          <w:p>
            <w:pPr>
              <w:spacing w:after="28" w:before="0"/>
              <w:ind w:left="220" w:hanging="200"/>
            </w:pPr>
            <w:r>
              <w:rPr>
                <w:rFonts w:ascii="Arial" w:cs="Arial" w:eastAsia="Arial" w:hAnsi="Arial"/>
                <w:b w:val="false"/>
                <w:bCs w:val="false"/>
                <w:i w:val="false"/>
                <w:iCs w:val="false"/>
                <w:color w:val="000000"/>
                <w:sz w:val="15"/>
                <w:szCs w:val="15"/>
              </w:rPr>
              <w:t xml:space="preserve">•  n=2–5: majority of ECoG and intracortical research studies</w:t>
            </w:r>
          </w:p>
          <w:p>
            <w:pPr>
              <w:spacing w:after="28" w:before="0"/>
              <w:ind w:left="220" w:hanging="200"/>
            </w:pPr>
            <w:r>
              <w:rPr>
                <w:rFonts w:ascii="Arial" w:cs="Arial" w:eastAsia="Arial" w:hAnsi="Arial"/>
                <w:b w:val="false"/>
                <w:bCs w:val="false"/>
                <w:i w:val="false"/>
                <w:iCs w:val="false"/>
                <w:color w:val="000000"/>
                <w:sz w:val="15"/>
                <w:szCs w:val="15"/>
              </w:rPr>
              <w:t xml:space="preserve">•  n=10–25: EEG classification studies; Singh 2025 sEEG</w:t>
            </w:r>
          </w:p>
          <w:p>
            <w:pPr>
              <w:spacing w:after="28" w:before="0"/>
              <w:ind w:left="220" w:hanging="200"/>
            </w:pPr>
            <w:r>
              <w:rPr>
                <w:rFonts w:ascii="Arial" w:cs="Arial" w:eastAsia="Arial" w:hAnsi="Arial"/>
                <w:b w:val="false"/>
                <w:bCs w:val="false"/>
                <w:i w:val="false"/>
                <w:iCs w:val="false"/>
                <w:color w:val="000000"/>
                <w:sz w:val="15"/>
                <w:szCs w:val="15"/>
              </w:rPr>
              <w:t xml:space="preserve">•  n=48: Chen 2024 — largest ECoG cohort</w:t>
            </w:r>
          </w:p>
          <w:p>
            <w:pPr>
              <w:spacing w:after="28" w:before="0"/>
              <w:ind w:left="220" w:hanging="200"/>
            </w:pPr>
            <w:r>
              <w:rPr>
                <w:rFonts w:ascii="Arial" w:cs="Arial" w:eastAsia="Arial" w:hAnsi="Arial"/>
                <w:b w:val="false"/>
                <w:bCs w:val="false"/>
                <w:i w:val="false"/>
                <w:iCs w:val="false"/>
                <w:color w:val="000000"/>
                <w:sz w:val="15"/>
                <w:szCs w:val="15"/>
              </w:rPr>
              <w:t xml:space="preserve">•  n=175: Défossez 2023 — largest non-invasive pre-SSL</w:t>
            </w:r>
          </w:p>
          <w:p>
            <w:pPr>
              <w:spacing w:after="28" w:before="0"/>
              <w:ind w:left="220" w:hanging="200"/>
            </w:pPr>
            <w:r>
              <w:rPr>
                <w:rFonts w:ascii="Arial" w:cs="Arial" w:eastAsia="Arial" w:hAnsi="Arial"/>
                <w:b w:val="false"/>
                <w:bCs w:val="false"/>
                <w:i w:val="false"/>
                <w:iCs w:val="false"/>
                <w:color w:val="000000"/>
                <w:sz w:val="15"/>
                <w:szCs w:val="15"/>
              </w:rPr>
              <w:t xml:space="preserve">•  n=723: d'Ascoli 2025 — largest in review</w:t>
            </w:r>
          </w:p>
          <w:p>
            <w:pPr>
              <w:spacing w:after="28" w:before="0"/>
            </w:pPr>
            <w:r>
              <w:rPr>
                <w:rFonts w:ascii="Arial" w:cs="Arial" w:eastAsia="Arial" w:hAnsi="Arial"/>
                <w:b w:val="false"/>
                <w:bCs w:val="false"/>
                <w:i/>
                <w:iCs/>
                <w:color w:val="595959"/>
                <w:sz w:val="14"/>
                <w:szCs w:val="14"/>
              </w:rPr>
              <w:t xml:space="preserve">Median n across all 71 studies estimated at 8–12 participants</w:t>
            </w:r>
          </w:p>
        </w:tc>
        <w:tc>
          <w:tcPr>
            <w:tcW w:type="dxa" w:w="14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20" w:before="0"/>
            </w:pPr>
            <w:r>
              <w:rPr>
                <w:rFonts w:ascii="Arial" w:cs="Arial" w:eastAsia="Arial" w:hAnsi="Arial"/>
                <w:b/>
                <w:bCs/>
                <w:i w:val="false"/>
                <w:iCs w:val="false"/>
                <w:color w:val="000000"/>
                <w:sz w:val="15"/>
                <w:szCs w:val="15"/>
              </w:rPr>
              <w:t xml:space="preserve">Small n → inflated performance (overfitting to individual neural patterns)</w:t>
            </w:r>
          </w:p>
          <w:p>
            <w:pPr>
              <w:spacing w:after="28" w:before="0"/>
              <w:ind w:left="220" w:hanging="200"/>
            </w:pPr>
            <w:r>
              <w:rPr>
                <w:rFonts w:ascii="Arial" w:cs="Arial" w:eastAsia="Arial" w:hAnsi="Arial"/>
                <w:b w:val="false"/>
                <w:bCs w:val="false"/>
                <w:i w:val="false"/>
                <w:iCs w:val="false"/>
                <w:color w:val="000000"/>
                <w:sz w:val="15"/>
                <w:szCs w:val="15"/>
              </w:rPr>
              <w:t xml:space="preserve">•  Single-participant results may reflect idiosyncratic neural representations</w:t>
            </w:r>
          </w:p>
          <w:p>
            <w:pPr>
              <w:spacing w:after="28" w:before="0"/>
              <w:ind w:left="220" w:hanging="200"/>
            </w:pPr>
            <w:r>
              <w:rPr>
                <w:rFonts w:ascii="Arial" w:cs="Arial" w:eastAsia="Arial" w:hAnsi="Arial"/>
                <w:b w:val="false"/>
                <w:bCs w:val="false"/>
                <w:i w:val="false"/>
                <w:iCs w:val="false"/>
                <w:color w:val="000000"/>
                <w:sz w:val="15"/>
                <w:szCs w:val="15"/>
              </w:rPr>
              <w:t xml:space="preserve">•  Variance estimates impossible with n=1</w:t>
            </w:r>
          </w:p>
          <w:p>
            <w:pPr>
              <w:spacing w:after="0" w:before="0"/>
            </w:pPr>
            <w:r>
              <w:rPr>
                <w:rFonts w:ascii="Arial" w:cs="Arial" w:eastAsia="Arial" w:hAnsi="Arial"/>
                <w:b w:val="false"/>
                <w:bCs w:val="false"/>
                <w:i/>
                <w:iCs/>
                <w:color w:val="000000"/>
                <w:sz w:val="15"/>
                <w:szCs w:val="15"/>
              </w:rPr>
              <w:t xml:space="preserve">Direction: larger n → more conservative and generalizable estimates.</w:t>
            </w:r>
          </w:p>
        </w:tc>
        <w:tc>
          <w:tcPr>
            <w:tcW w:type="dxa" w:w="900"/>
            <w:tcBorders>
              <w:top w:val="single" w:color="CCCCCC" w:sz="1"/>
              <w:left w:val="single" w:color="CCCCCC" w:sz="1"/>
              <w:bottom w:val="single" w:color="CCCCCC" w:sz="1"/>
              <w:right w:val="single" w:color="CCCCCC" w:sz="1"/>
            </w:tcBorders>
            <w:shd w:fill="E67E22" w:val="clear"/>
            <w:tcMar>
              <w:top w:type="dxa" w:w="90"/>
              <w:left w:type="dxa" w:w="80"/>
              <w:bottom w:type="dxa" w:w="90"/>
              <w:right w:type="dxa" w:w="80"/>
            </w:tcMar>
            <w:vAlign w:val="center"/>
          </w:tcPr>
          <w:p>
            <w:pPr>
              <w:spacing w:after="0" w:before="0"/>
              <w:jc w:val="center"/>
            </w:pPr>
            <w:r>
              <w:rPr>
                <w:rFonts w:ascii="Arial" w:cs="Arial" w:eastAsia="Arial" w:hAnsi="Arial"/>
                <w:b/>
                <w:bCs/>
                <w:i w:val="false"/>
                <w:iCs w:val="false"/>
                <w:color w:val="FFFFFF"/>
                <w:sz w:val="15"/>
                <w:szCs w:val="15"/>
              </w:rPr>
              <w:t xml:space="preserve">MAJOR</w:t>
            </w:r>
          </w:p>
        </w:tc>
        <w:tc>
          <w:tcPr>
            <w:tcW w:type="dxa" w:w="28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36" w:before="0"/>
            </w:pPr>
            <w:r>
              <w:rPr>
                <w:rFonts w:ascii="Arial" w:cs="Arial" w:eastAsia="Arial" w:hAnsi="Arial"/>
                <w:b/>
                <w:bCs/>
                <w:i w:val="false"/>
                <w:iCs w:val="false"/>
                <w:color w:val="000000"/>
                <w:sz w:val="16"/>
                <w:szCs w:val="16"/>
              </w:rPr>
              <w:t xml:space="preserve">Range: </w:t>
            </w:r>
            <w:r>
              <w:rPr>
                <w:rFonts w:ascii="Arial" w:cs="Arial" w:eastAsia="Arial" w:hAnsi="Arial"/>
                <w:b w:val="false"/>
                <w:bCs w:val="false"/>
                <w:i w:val="false"/>
                <w:iCs w:val="false"/>
                <w:color w:val="000000"/>
                <w:sz w:val="16"/>
                <w:szCs w:val="16"/>
              </w:rPr>
              <w:t xml:space="preserve">n=1 (Card 2024, Willett 2023, Metzger 2023) to n=723 (d'Ascoli 2025)</w:t>
            </w:r>
          </w:p>
          <w:p>
            <w:pPr>
              <w:spacing w:after="36" w:before="0"/>
            </w:pPr>
            <w:r>
              <w:rPr>
                <w:rFonts w:ascii="Arial" w:cs="Arial" w:eastAsia="Arial" w:hAnsi="Arial"/>
                <w:b/>
                <w:bCs/>
                <w:i w:val="false"/>
                <w:iCs w:val="false"/>
                <w:color w:val="000000"/>
                <w:sz w:val="16"/>
                <w:szCs w:val="16"/>
              </w:rPr>
              <w:t xml:space="preserve">No CI: </w:t>
            </w:r>
            <w:r>
              <w:rPr>
                <w:rFonts w:ascii="Arial" w:cs="Arial" w:eastAsia="Arial" w:hAnsi="Arial"/>
                <w:b w:val="false"/>
                <w:bCs w:val="false"/>
                <w:i w:val="false"/>
                <w:iCs w:val="false"/>
                <w:color w:val="000000"/>
                <w:sz w:val="16"/>
                <w:szCs w:val="16"/>
              </w:rPr>
              <w:t xml:space="preserve">Most n=1–5 studies do not report confidence intervals or standard deviations across participants</w:t>
            </w:r>
          </w:p>
          <w:p>
            <w:pPr>
              <w:spacing w:after="36" w:before="0"/>
            </w:pPr>
            <w:r>
              <w:rPr>
                <w:rFonts w:ascii="Arial" w:cs="Arial" w:eastAsia="Arial" w:hAnsi="Arial"/>
                <w:b/>
                <w:bCs/>
                <w:i w:val="false"/>
                <w:iCs w:val="false"/>
                <w:color w:val="000000"/>
                <w:sz w:val="16"/>
                <w:szCs w:val="16"/>
              </w:rPr>
              <w:t xml:space="preserve">Variance: </w:t>
            </w:r>
            <w:r>
              <w:rPr>
                <w:rFonts w:ascii="Arial" w:cs="Arial" w:eastAsia="Arial" w:hAnsi="Arial"/>
                <w:b w:val="false"/>
                <w:bCs w:val="false"/>
                <w:i w:val="false"/>
                <w:iCs w:val="false"/>
                <w:color w:val="000000"/>
                <w:sz w:val="16"/>
                <w:szCs w:val="16"/>
              </w:rPr>
              <w:t xml:space="preserve">Chen 2024 (n=48) reports meaningful PCC distribution; n=1 studies report point estimates only</w:t>
            </w:r>
          </w:p>
          <w:p>
            <w:pPr>
              <w:spacing w:after="36" w:before="0"/>
            </w:pPr>
            <w:r>
              <w:rPr>
                <w:rFonts w:ascii="Arial" w:cs="Arial" w:eastAsia="Arial" w:hAnsi="Arial"/>
                <w:b/>
                <w:bCs/>
                <w:i w:val="false"/>
                <w:iCs w:val="false"/>
                <w:color w:val="000000"/>
                <w:sz w:val="16"/>
                <w:szCs w:val="16"/>
              </w:rPr>
              <w:t xml:space="preserve">Scale effect: </w:t>
            </w:r>
            <w:r>
              <w:rPr>
                <w:rFonts w:ascii="Arial" w:cs="Arial" w:eastAsia="Arial" w:hAnsi="Arial"/>
                <w:b w:val="false"/>
                <w:bCs w:val="false"/>
                <w:i w:val="false"/>
                <w:iCs w:val="false"/>
                <w:color w:val="000000"/>
                <w:sz w:val="16"/>
                <w:szCs w:val="16"/>
              </w:rPr>
              <w:t xml:space="preserve">d'Ascoli 2025 demonstrates performance scales with n — underscoring why small-n results cannot represent field capability</w:t>
            </w:r>
          </w:p>
        </w:tc>
        <w:tc>
          <w:tcPr>
            <w:tcW w:type="dxa" w:w="49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0" w:before="0"/>
            </w:pPr>
            <w:r>
              <w:rPr>
                <w:rFonts w:ascii="Arial" w:cs="Arial" w:eastAsia="Arial" w:hAnsi="Arial"/>
                <w:b w:val="false"/>
                <w:bCs w:val="false"/>
                <w:i w:val="false"/>
                <w:iCs w:val="false"/>
                <w:color w:val="000000"/>
                <w:sz w:val="15"/>
                <w:szCs w:val="15"/>
              </w:rPr>
              <w:t xml:space="preserve">Most headline clinical results in this review (Card 2024 WER 2.5%, Willett 2023 WER 9%, Metzger 2023 78 WPM) come from single-participant studies. These are landmark demonstrations of what is achievable in optimal conditions but should not be interpreted as population-level performance estimates. Variability in neural anatomy, clinical condition, and electrode placement means single-participant results may not represent the performance achievable in the next participant. The field's heavy reliance on n=1–5 studies is a structural limitation acknowledged in Section 7 — the contrast with d'Ascoli 2025 (n=723) illustrating what population-level assessment looks like is the most important scaling evidence in this review.</w:t>
            </w:r>
          </w:p>
        </w:tc>
      </w:tr>
      <w:tr>
        <w:tc>
          <w:tcPr>
            <w:tcW w:type="dxa" w:w="20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20" w:before="0"/>
            </w:pPr>
            <w:r>
              <w:rPr>
                <w:rFonts w:ascii="Arial" w:cs="Arial" w:eastAsia="Arial" w:hAnsi="Arial"/>
                <w:b/>
                <w:bCs/>
                <w:i w:val="false"/>
                <w:iCs w:val="false"/>
                <w:color w:val="000000"/>
                <w:sz w:val="17"/>
                <w:szCs w:val="17"/>
              </w:rPr>
              <w:t xml:space="preserve">5. Participant
clinical status</w:t>
            </w:r>
          </w:p>
          <w:p>
            <w:pPr>
              <w:spacing w:after="28" w:before="0"/>
            </w:pPr>
            <w:r>
              <w:rPr>
                <w:rFonts w:ascii="Arial" w:cs="Arial" w:eastAsia="Arial" w:hAnsi="Arial"/>
                <w:b w:val="false"/>
                <w:bCs w:val="false"/>
                <w:i/>
                <w:iCs/>
                <w:color w:val="595959"/>
                <w:sz w:val="14"/>
                <w:szCs w:val="14"/>
              </w:rPr>
              <w:t xml:space="preserve">ALS / anarthria / paralysis clinical patients vs healthy volunteers — different decoding contexts</w:t>
            </w:r>
          </w:p>
        </w:tc>
        <w:tc>
          <w:tcPr>
            <w:tcW w:type="dxa" w:w="24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28" w:before="0"/>
              <w:ind w:left="220" w:hanging="200"/>
            </w:pPr>
            <w:r>
              <w:rPr>
                <w:rFonts w:ascii="Arial" w:cs="Arial" w:eastAsia="Arial" w:hAnsi="Arial"/>
                <w:b w:val="false"/>
                <w:bCs w:val="false"/>
                <w:i w:val="false"/>
                <w:iCs w:val="false"/>
                <w:color w:val="000000"/>
                <w:sz w:val="15"/>
                <w:szCs w:val="15"/>
              </w:rPr>
              <w:t xml:space="preserve">•  Healthy volunteers (epilepsy patients used clinically): ECoG, EEG, MEG, fMRI majority of studies</w:t>
            </w:r>
          </w:p>
          <w:p>
            <w:pPr>
              <w:spacing w:after="28" w:before="0"/>
              <w:ind w:left="220" w:hanging="200"/>
            </w:pPr>
            <w:r>
              <w:rPr>
                <w:rFonts w:ascii="Arial" w:cs="Arial" w:eastAsia="Arial" w:hAnsi="Arial"/>
                <w:b w:val="false"/>
                <w:bCs w:val="false"/>
                <w:i w:val="false"/>
                <w:iCs w:val="false"/>
                <w:color w:val="000000"/>
                <w:sz w:val="15"/>
                <w:szCs w:val="15"/>
              </w:rPr>
              <w:t xml:space="preserve">•  ALS / tetraplegia (intended use population): Card 2024, Willett 2023, Metzger 2023, Moses 2021</w:t>
            </w:r>
          </w:p>
          <w:p>
            <w:pPr>
              <w:spacing w:after="28" w:before="0"/>
              <w:ind w:left="220" w:hanging="200"/>
            </w:pPr>
            <w:r>
              <w:rPr>
                <w:rFonts w:ascii="Arial" w:cs="Arial" w:eastAsia="Arial" w:hAnsi="Arial"/>
                <w:b w:val="false"/>
                <w:bCs w:val="false"/>
                <w:i w:val="false"/>
                <w:iCs w:val="false"/>
                <w:color w:val="000000"/>
                <w:sz w:val="15"/>
                <w:szCs w:val="15"/>
              </w:rPr>
              <w:t xml:space="preserve">•  Locked-in syndrome: Chaudhary 2022, Vansteensel 2016</w:t>
            </w:r>
          </w:p>
          <w:p>
            <w:pPr>
              <w:spacing w:after="28" w:before="0"/>
              <w:ind w:left="220" w:hanging="200"/>
            </w:pPr>
            <w:r>
              <w:rPr>
                <w:rFonts w:ascii="Arial" w:cs="Arial" w:eastAsia="Arial" w:hAnsi="Arial"/>
                <w:b w:val="false"/>
                <w:bCs w:val="false"/>
                <w:i w:val="false"/>
                <w:iCs w:val="false"/>
                <w:color w:val="000000"/>
                <w:sz w:val="15"/>
                <w:szCs w:val="15"/>
              </w:rPr>
              <w:t xml:space="preserve">•  Anarthria: Moses 2021</w:t>
            </w:r>
          </w:p>
          <w:p>
            <w:pPr>
              <w:spacing w:after="28" w:before="0"/>
              <w:ind w:left="220" w:hanging="200"/>
            </w:pPr>
            <w:r>
              <w:rPr>
                <w:rFonts w:ascii="Arial" w:cs="Arial" w:eastAsia="Arial" w:hAnsi="Arial"/>
                <w:b w:val="false"/>
                <w:bCs w:val="false"/>
                <w:i w:val="false"/>
                <w:iCs w:val="false"/>
                <w:color w:val="000000"/>
                <w:sz w:val="15"/>
                <w:szCs w:val="15"/>
              </w:rPr>
              <w:t xml:space="preserve">•  Mixed clinical / healthy: Chen 2024 (epilepsy + other), Singh 2025</w:t>
            </w:r>
          </w:p>
          <w:p>
            <w:pPr>
              <w:spacing w:after="28" w:before="0"/>
            </w:pPr>
            <w:r>
              <w:rPr>
                <w:rFonts w:ascii="Arial" w:cs="Arial" w:eastAsia="Arial" w:hAnsi="Arial"/>
                <w:b w:val="false"/>
                <w:bCs w:val="false"/>
                <w:i/>
                <w:iCs/>
                <w:color w:val="595959"/>
                <w:sz w:val="14"/>
                <w:szCs w:val="14"/>
              </w:rPr>
              <w:t xml:space="preserve">~25 of 71 studies use clinical populations; ~46 use healthy participants</w:t>
            </w:r>
          </w:p>
        </w:tc>
        <w:tc>
          <w:tcPr>
            <w:tcW w:type="dxa" w:w="14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20" w:before="0"/>
            </w:pPr>
            <w:r>
              <w:rPr>
                <w:rFonts w:ascii="Arial" w:cs="Arial" w:eastAsia="Arial" w:hAnsi="Arial"/>
                <w:b/>
                <w:bCs/>
                <w:i w:val="false"/>
                <w:iCs w:val="false"/>
                <w:color w:val="000000"/>
                <w:sz w:val="15"/>
                <w:szCs w:val="15"/>
              </w:rPr>
              <w:t xml:space="preserve">Clinical populations → lower WPM and higher WER than healthy volunteers on comparable systems.</w:t>
            </w:r>
          </w:p>
          <w:p>
            <w:pPr>
              <w:spacing w:after="0" w:before="0"/>
            </w:pPr>
            <w:r>
              <w:rPr>
                <w:rFonts w:ascii="Arial" w:cs="Arial" w:eastAsia="Arial" w:hAnsi="Arial"/>
                <w:b w:val="false"/>
                <w:bCs w:val="false"/>
                <w:i/>
                <w:iCs/>
                <w:color w:val="000000"/>
                <w:sz w:val="15"/>
                <w:szCs w:val="15"/>
              </w:rPr>
              <w:t xml:space="preserve">Direction: healthy participant performance overestimates clinical deployment performance.</w:t>
            </w:r>
          </w:p>
        </w:tc>
        <w:tc>
          <w:tcPr>
            <w:tcW w:type="dxa" w:w="900"/>
            <w:tcBorders>
              <w:top w:val="single" w:color="CCCCCC" w:sz="1"/>
              <w:left w:val="single" w:color="CCCCCC" w:sz="1"/>
              <w:bottom w:val="single" w:color="CCCCCC" w:sz="1"/>
              <w:right w:val="single" w:color="CCCCCC" w:sz="1"/>
            </w:tcBorders>
            <w:shd w:fill="E67E22" w:val="clear"/>
            <w:tcMar>
              <w:top w:type="dxa" w:w="90"/>
              <w:left w:type="dxa" w:w="80"/>
              <w:bottom w:type="dxa" w:w="90"/>
              <w:right w:type="dxa" w:w="80"/>
            </w:tcMar>
            <w:vAlign w:val="center"/>
          </w:tcPr>
          <w:p>
            <w:pPr>
              <w:spacing w:after="0" w:before="0"/>
              <w:jc w:val="center"/>
            </w:pPr>
            <w:r>
              <w:rPr>
                <w:rFonts w:ascii="Arial" w:cs="Arial" w:eastAsia="Arial" w:hAnsi="Arial"/>
                <w:b/>
                <w:bCs/>
                <w:i w:val="false"/>
                <w:iCs w:val="false"/>
                <w:color w:val="FFFFFF"/>
                <w:sz w:val="15"/>
                <w:szCs w:val="15"/>
              </w:rPr>
              <w:t xml:space="preserve">MAJOR</w:t>
            </w:r>
          </w:p>
        </w:tc>
        <w:tc>
          <w:tcPr>
            <w:tcW w:type="dxa" w:w="28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36" w:before="0"/>
            </w:pPr>
            <w:r>
              <w:rPr>
                <w:rFonts w:ascii="Arial" w:cs="Arial" w:eastAsia="Arial" w:hAnsi="Arial"/>
                <w:b/>
                <w:bCs/>
                <w:i w:val="false"/>
                <w:iCs w:val="false"/>
                <w:color w:val="000000"/>
                <w:sz w:val="16"/>
                <w:szCs w:val="16"/>
              </w:rPr>
              <w:t xml:space="preserve">Clinical vs healthy: </w:t>
            </w:r>
            <w:r>
              <w:rPr>
                <w:rFonts w:ascii="Arial" w:cs="Arial" w:eastAsia="Arial" w:hAnsi="Arial"/>
                <w:b w:val="false"/>
                <w:bCs w:val="false"/>
                <w:i w:val="false"/>
                <w:iCs w:val="false"/>
                <w:color w:val="000000"/>
                <w:sz w:val="16"/>
                <w:szCs w:val="16"/>
              </w:rPr>
              <w:t xml:space="preserve">Herff 2015 (healthy epilepsy patients) WER ~25% vs Moses 2021 (ALS anarthria) WER 26% — appears comparable but task demands differ fundamentally</w:t>
            </w:r>
          </w:p>
          <w:p>
            <w:pPr>
              <w:spacing w:after="36" w:before="0"/>
            </w:pPr>
            <w:r>
              <w:rPr>
                <w:rFonts w:ascii="Arial" w:cs="Arial" w:eastAsia="Arial" w:hAnsi="Arial"/>
                <w:b/>
                <w:bCs/>
                <w:i w:val="false"/>
                <w:iCs w:val="false"/>
                <w:color w:val="000000"/>
                <w:sz w:val="16"/>
                <w:szCs w:val="16"/>
              </w:rPr>
              <w:t xml:space="preserve">Muscle weakness: </w:t>
            </w:r>
            <w:r>
              <w:rPr>
                <w:rFonts w:ascii="Arial" w:cs="Arial" w:eastAsia="Arial" w:hAnsi="Arial"/>
                <w:b w:val="false"/>
                <w:bCs w:val="false"/>
                <w:i w:val="false"/>
                <w:iCs w:val="false"/>
                <w:color w:val="000000"/>
                <w:sz w:val="16"/>
                <w:szCs w:val="16"/>
              </w:rPr>
              <w:t xml:space="preserve">ALS patients show reduced articulatory signal strength; affects intracortical threshold crossing rates</w:t>
            </w:r>
          </w:p>
          <w:p>
            <w:pPr>
              <w:spacing w:after="36" w:before="0"/>
            </w:pPr>
            <w:r>
              <w:rPr>
                <w:rFonts w:ascii="Arial" w:cs="Arial" w:eastAsia="Arial" w:hAnsi="Arial"/>
                <w:b/>
                <w:bCs/>
                <w:i w:val="false"/>
                <w:iCs w:val="false"/>
                <w:color w:val="000000"/>
                <w:sz w:val="16"/>
                <w:szCs w:val="16"/>
              </w:rPr>
              <w:t xml:space="preserve">Confound: </w:t>
            </w:r>
            <w:r>
              <w:rPr>
                <w:rFonts w:ascii="Arial" w:cs="Arial" w:eastAsia="Arial" w:hAnsi="Arial"/>
                <w:b w:val="false"/>
                <w:bCs w:val="false"/>
                <w:i w:val="false"/>
                <w:iCs w:val="false"/>
                <w:color w:val="000000"/>
                <w:sz w:val="16"/>
                <w:szCs w:val="16"/>
              </w:rPr>
              <w:t xml:space="preserve">Epilepsy patients used for ECoG research are clinical but not the target ALS/paralysis population — performance may not transfer</w:t>
            </w:r>
          </w:p>
        </w:tc>
        <w:tc>
          <w:tcPr>
            <w:tcW w:type="dxa" w:w="49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0" w:before="0"/>
            </w:pPr>
            <w:r>
              <w:rPr>
                <w:rFonts w:ascii="Arial" w:cs="Arial" w:eastAsia="Arial" w:hAnsi="Arial"/>
                <w:b w:val="false"/>
                <w:bCs w:val="false"/>
                <w:i w:val="false"/>
                <w:iCs w:val="false"/>
                <w:color w:val="000000"/>
                <w:sz w:val="15"/>
                <w:szCs w:val="15"/>
              </w:rPr>
              <w:t xml:space="preserve">Research ECoG studies predominantly use epilepsy patients implanted for clinical seizure monitoring — a population that can produce overt speech and has different neural characteristics from the ALS or paralysis population that speech neuroprostheses are designed to serve. Performance benchmarks from epilepsy patient studies may overestimate what is achievable in ALS or locked-in populations where motor pathway degeneration, fatigue, and communication history differ substantially. The distinction between 'clinical proof of concept' and 'intended use population performance' is a critical interpretive consideration throughout this review.</w:t>
            </w:r>
          </w:p>
        </w:tc>
      </w:tr>
      <w:tr>
        <w:tc>
          <w:tcPr>
            <w:tcW w:type="dxa" w:w="14400"/>
            <w:gridSpan w:val="6"/>
            <w:tcBorders>
              <w:top w:val="single" w:color="1F4E79" w:sz="4"/>
              <w:left w:val="single" w:color="CCCCCC" w:sz="1"/>
              <w:bottom w:val="single" w:color="1F4E79" w:sz="4"/>
              <w:right w:val="single" w:color="CCCCCC" w:sz="1"/>
            </w:tcBorders>
            <w:shd w:fill="1F4E79" w:val="clear"/>
            <w:tcMar>
              <w:top w:type="dxa" w:w="60"/>
              <w:left w:type="dxa" w:w="120"/>
              <w:bottom w:type="dxa" w:w="60"/>
              <w:right w:type="dxa" w:w="120"/>
            </w:tcMar>
          </w:tcPr>
          <w:p>
            <w:pPr>
              <w:spacing w:after="0" w:before="0"/>
            </w:pPr>
            <w:r>
              <w:rPr>
                <w:rFonts w:ascii="Arial" w:cs="Arial" w:eastAsia="Arial" w:hAnsi="Arial"/>
                <w:b/>
                <w:bCs/>
                <w:i w:val="false"/>
                <w:iCs w:val="false"/>
                <w:color w:val="FFFFFF"/>
                <w:sz w:val="17"/>
                <w:szCs w:val="17"/>
              </w:rPr>
              <w:t xml:space="preserve">SECTION C — EVALUATION METHODOLOGY FACTORS</w:t>
            </w:r>
          </w:p>
        </w:tc>
      </w:tr>
      <w:tr>
        <w:tc>
          <w:tcPr>
            <w:tcW w:type="dxa" w:w="20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20" w:before="0"/>
            </w:pPr>
            <w:r>
              <w:rPr>
                <w:rFonts w:ascii="Arial" w:cs="Arial" w:eastAsia="Arial" w:hAnsi="Arial"/>
                <w:b/>
                <w:bCs/>
                <w:i w:val="false"/>
                <w:iCs w:val="false"/>
                <w:color w:val="000000"/>
                <w:sz w:val="17"/>
                <w:szCs w:val="17"/>
              </w:rPr>
              <w:t xml:space="preserve">6. Evaluation
methodology</w:t>
            </w:r>
          </w:p>
          <w:p>
            <w:pPr>
              <w:spacing w:after="28" w:before="0"/>
            </w:pPr>
            <w:r>
              <w:rPr>
                <w:rFonts w:ascii="Arial" w:cs="Arial" w:eastAsia="Arial" w:hAnsi="Arial"/>
                <w:b w:val="false"/>
                <w:bCs w:val="false"/>
                <w:i/>
                <w:iCs/>
                <w:color w:val="595959"/>
                <w:sz w:val="14"/>
                <w:szCs w:val="14"/>
              </w:rPr>
              <w:t xml:space="preserve">How performance is measured: held-out test set vs cross-validation vs online real-time evaluation</w:t>
            </w:r>
          </w:p>
        </w:tc>
        <w:tc>
          <w:tcPr>
            <w:tcW w:type="dxa" w:w="24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28" w:before="0"/>
              <w:ind w:left="220" w:hanging="200"/>
            </w:pPr>
            <w:r>
              <w:rPr>
                <w:rFonts w:ascii="Arial" w:cs="Arial" w:eastAsia="Arial" w:hAnsi="Arial"/>
                <w:b w:val="false"/>
                <w:bCs w:val="false"/>
                <w:i w:val="false"/>
                <w:iCs w:val="false"/>
                <w:color w:val="000000"/>
                <w:sz w:val="15"/>
                <w:szCs w:val="15"/>
              </w:rPr>
              <w:t xml:space="preserve">•  Within-session k-fold cross-validation: most EEG imagined speech studies</w:t>
            </w:r>
          </w:p>
          <w:p>
            <w:pPr>
              <w:spacing w:after="28" w:before="0"/>
              <w:ind w:left="220" w:hanging="200"/>
            </w:pPr>
            <w:r>
              <w:rPr>
                <w:rFonts w:ascii="Arial" w:cs="Arial" w:eastAsia="Arial" w:hAnsi="Arial"/>
                <w:b w:val="false"/>
                <w:bCs w:val="false"/>
                <w:i w:val="false"/>
                <w:iCs w:val="false"/>
                <w:color w:val="000000"/>
                <w:sz w:val="15"/>
                <w:szCs w:val="15"/>
              </w:rPr>
              <w:t xml:space="preserve">•  Leave-one-participant-out cross-validation: subject-independent EEG studies</w:t>
            </w:r>
          </w:p>
          <w:p>
            <w:pPr>
              <w:spacing w:after="28" w:before="0"/>
              <w:ind w:left="220" w:hanging="200"/>
            </w:pPr>
            <w:r>
              <w:rPr>
                <w:rFonts w:ascii="Arial" w:cs="Arial" w:eastAsia="Arial" w:hAnsi="Arial"/>
                <w:b w:val="false"/>
                <w:bCs w:val="false"/>
                <w:i w:val="false"/>
                <w:iCs w:val="false"/>
                <w:color w:val="000000"/>
                <w:sz w:val="15"/>
                <w:szCs w:val="15"/>
              </w:rPr>
              <w:t xml:space="preserve">•  Held-out test set (unseen sessions): most clinical neuroprosthesis studies</w:t>
            </w:r>
          </w:p>
          <w:p>
            <w:pPr>
              <w:spacing w:after="28" w:before="0"/>
              <w:ind w:left="220" w:hanging="200"/>
            </w:pPr>
            <w:r>
              <w:rPr>
                <w:rFonts w:ascii="Arial" w:cs="Arial" w:eastAsia="Arial" w:hAnsi="Arial"/>
                <w:b w:val="false"/>
                <w:bCs w:val="false"/>
                <w:i w:val="false"/>
                <w:iCs w:val="false"/>
                <w:color w:val="000000"/>
                <w:sz w:val="15"/>
                <w:szCs w:val="15"/>
              </w:rPr>
              <w:t xml:space="preserve">•  Online real-time evaluation: Card 2024, Willett 2023, Angrick 2021</w:t>
            </w:r>
          </w:p>
          <w:p>
            <w:pPr>
              <w:spacing w:after="28" w:before="0"/>
              <w:ind w:left="220" w:hanging="200"/>
            </w:pPr>
            <w:r>
              <w:rPr>
                <w:rFonts w:ascii="Arial" w:cs="Arial" w:eastAsia="Arial" w:hAnsi="Arial"/>
                <w:b w:val="false"/>
                <w:bCs w:val="false"/>
                <w:i w:val="false"/>
                <w:iCs w:val="false"/>
                <w:color w:val="000000"/>
                <w:sz w:val="15"/>
                <w:szCs w:val="15"/>
              </w:rPr>
              <w:t xml:space="preserve">•  Pre-train + fine-tune split: foundation model and SSL studies</w:t>
            </w:r>
          </w:p>
          <w:p>
            <w:pPr>
              <w:spacing w:after="28" w:before="0"/>
            </w:pPr>
            <w:r>
              <w:rPr>
                <w:rFonts w:ascii="Arial" w:cs="Arial" w:eastAsia="Arial" w:hAnsi="Arial"/>
                <w:b w:val="false"/>
                <w:bCs w:val="false"/>
                <w:i/>
                <w:iCs/>
                <w:color w:val="595959"/>
                <w:sz w:val="14"/>
                <w:szCs w:val="14"/>
              </w:rPr>
              <w:t xml:space="preserve">No standardized evaluation protocol across 71 studies</w:t>
            </w:r>
          </w:p>
        </w:tc>
        <w:tc>
          <w:tcPr>
            <w:tcW w:type="dxa" w:w="14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20" w:before="0"/>
            </w:pPr>
            <w:r>
              <w:rPr>
                <w:rFonts w:ascii="Arial" w:cs="Arial" w:eastAsia="Arial" w:hAnsi="Arial"/>
                <w:b/>
                <w:bCs/>
                <w:i w:val="false"/>
                <w:iCs w:val="false"/>
                <w:color w:val="000000"/>
                <w:sz w:val="15"/>
                <w:szCs w:val="15"/>
              </w:rPr>
              <w:t xml:space="preserve">Cross-validation → optimistically biased vs held-out.</w:t>
            </w:r>
          </w:p>
          <w:p>
            <w:pPr>
              <w:spacing w:after="28" w:before="0"/>
              <w:ind w:left="220" w:hanging="200"/>
            </w:pPr>
            <w:r>
              <w:rPr>
                <w:rFonts w:ascii="Arial" w:cs="Arial" w:eastAsia="Arial" w:hAnsi="Arial"/>
                <w:b w:val="false"/>
                <w:bCs w:val="false"/>
                <w:i w:val="false"/>
                <w:iCs w:val="false"/>
                <w:color w:val="000000"/>
                <w:sz w:val="15"/>
                <w:szCs w:val="15"/>
              </w:rPr>
              <w:t xml:space="preserve">•  Within-session CV inflates accuracy 5–15% vs held-out evaluation</w:t>
            </w:r>
          </w:p>
          <w:p>
            <w:pPr>
              <w:spacing w:after="28" w:before="0"/>
              <w:ind w:left="220" w:hanging="200"/>
            </w:pPr>
            <w:r>
              <w:rPr>
                <w:rFonts w:ascii="Arial" w:cs="Arial" w:eastAsia="Arial" w:hAnsi="Arial"/>
                <w:b w:val="false"/>
                <w:bCs w:val="false"/>
                <w:i w:val="false"/>
                <w:iCs w:val="false"/>
                <w:color w:val="000000"/>
                <w:sz w:val="15"/>
                <w:szCs w:val="15"/>
              </w:rPr>
              <w:t xml:space="preserve">•  Online evaluation introduces signal drift and fatigue not present in offline CV</w:t>
            </w:r>
          </w:p>
          <w:p>
            <w:pPr>
              <w:spacing w:after="0" w:before="0"/>
            </w:pPr>
            <w:r>
              <w:rPr>
                <w:rFonts w:ascii="Arial" w:cs="Arial" w:eastAsia="Arial" w:hAnsi="Arial"/>
                <w:b w:val="false"/>
                <w:bCs w:val="false"/>
                <w:i/>
                <w:iCs/>
                <w:color w:val="000000"/>
                <w:sz w:val="15"/>
                <w:szCs w:val="15"/>
              </w:rPr>
              <w:t xml:space="preserve">Direction: offline CV &gt; held-out &gt; online real-time in terms of reported performance.</w:t>
            </w:r>
          </w:p>
        </w:tc>
        <w:tc>
          <w:tcPr>
            <w:tcW w:type="dxa" w:w="900"/>
            <w:tcBorders>
              <w:top w:val="single" w:color="CCCCCC" w:sz="1"/>
              <w:left w:val="single" w:color="CCCCCC" w:sz="1"/>
              <w:bottom w:val="single" w:color="CCCCCC" w:sz="1"/>
              <w:right w:val="single" w:color="CCCCCC" w:sz="1"/>
            </w:tcBorders>
            <w:shd w:fill="E67E22" w:val="clear"/>
            <w:tcMar>
              <w:top w:type="dxa" w:w="90"/>
              <w:left w:type="dxa" w:w="80"/>
              <w:bottom w:type="dxa" w:w="90"/>
              <w:right w:type="dxa" w:w="80"/>
            </w:tcMar>
            <w:vAlign w:val="center"/>
          </w:tcPr>
          <w:p>
            <w:pPr>
              <w:spacing w:after="0" w:before="0"/>
              <w:jc w:val="center"/>
            </w:pPr>
            <w:r>
              <w:rPr>
                <w:rFonts w:ascii="Arial" w:cs="Arial" w:eastAsia="Arial" w:hAnsi="Arial"/>
                <w:b/>
                <w:bCs/>
                <w:i w:val="false"/>
                <w:iCs w:val="false"/>
                <w:color w:val="FFFFFF"/>
                <w:sz w:val="15"/>
                <w:szCs w:val="15"/>
              </w:rPr>
              <w:t xml:space="preserve">MAJOR</w:t>
            </w:r>
          </w:p>
        </w:tc>
        <w:tc>
          <w:tcPr>
            <w:tcW w:type="dxa" w:w="28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36" w:before="0"/>
            </w:pPr>
            <w:r>
              <w:rPr>
                <w:rFonts w:ascii="Arial" w:cs="Arial" w:eastAsia="Arial" w:hAnsi="Arial"/>
                <w:b/>
                <w:bCs/>
                <w:i w:val="false"/>
                <w:iCs w:val="false"/>
                <w:color w:val="000000"/>
                <w:sz w:val="16"/>
                <w:szCs w:val="16"/>
              </w:rPr>
              <w:t xml:space="preserve">Clinical vs offline: </w:t>
            </w:r>
            <w:r>
              <w:rPr>
                <w:rFonts w:ascii="Arial" w:cs="Arial" w:eastAsia="Arial" w:hAnsi="Arial"/>
                <w:b w:val="false"/>
                <w:bCs w:val="false"/>
                <w:i w:val="false"/>
                <w:iCs w:val="false"/>
                <w:color w:val="000000"/>
                <w:sz w:val="16"/>
                <w:szCs w:val="16"/>
              </w:rPr>
              <w:t xml:space="preserve">Card 2024 WER 2.5% (online real-time) vs most EEG studies using offline CV — comparing these directly is misleading</w:t>
            </w:r>
          </w:p>
          <w:p>
            <w:pPr>
              <w:spacing w:after="36" w:before="0"/>
            </w:pPr>
            <w:r>
              <w:rPr>
                <w:rFonts w:ascii="Arial" w:cs="Arial" w:eastAsia="Arial" w:hAnsi="Arial"/>
                <w:b/>
                <w:bCs/>
                <w:i w:val="false"/>
                <w:iCs w:val="false"/>
                <w:color w:val="000000"/>
                <w:sz w:val="16"/>
                <w:szCs w:val="16"/>
              </w:rPr>
              <w:t xml:space="preserve">CV inflation: </w:t>
            </w:r>
            <w:r>
              <w:rPr>
                <w:rFonts w:ascii="Arial" w:cs="Arial" w:eastAsia="Arial" w:hAnsi="Arial"/>
                <w:b w:val="false"/>
                <w:bCs w:val="false"/>
                <w:i w:val="false"/>
                <w:iCs w:val="false"/>
                <w:color w:val="000000"/>
                <w:sz w:val="16"/>
                <w:szCs w:val="16"/>
              </w:rPr>
              <w:t xml:space="preserve">Many EEG studies report 85–92% accuracy via cross-validation; held-out evaluation would likely be lower</w:t>
            </w:r>
          </w:p>
          <w:p>
            <w:pPr>
              <w:spacing w:after="36" w:before="0"/>
            </w:pPr>
            <w:r>
              <w:rPr>
                <w:rFonts w:ascii="Arial" w:cs="Arial" w:eastAsia="Arial" w:hAnsi="Arial"/>
                <w:b/>
                <w:bCs/>
                <w:i w:val="false"/>
                <w:iCs w:val="false"/>
                <w:color w:val="000000"/>
                <w:sz w:val="16"/>
                <w:szCs w:val="16"/>
              </w:rPr>
              <w:t xml:space="preserve">Standard: </w:t>
            </w:r>
            <w:r>
              <w:rPr>
                <w:rFonts w:ascii="Arial" w:cs="Arial" w:eastAsia="Arial" w:hAnsi="Arial"/>
                <w:b w:val="false"/>
                <w:bCs w:val="false"/>
                <w:i w:val="false"/>
                <w:iCs w:val="false"/>
                <w:color w:val="000000"/>
                <w:sz w:val="16"/>
                <w:szCs w:val="16"/>
              </w:rPr>
              <w:t xml:space="preserve">No evaluation standard exists in this field comparable to train/validation/test splits in machine learning benchmarks like LibriSpeech</w:t>
            </w:r>
          </w:p>
          <w:p>
            <w:pPr>
              <w:spacing w:after="28" w:before="0"/>
            </w:pPr>
            <w:r>
              <w:rPr>
                <w:rFonts w:ascii="Arial" w:cs="Arial" w:eastAsia="Arial" w:hAnsi="Arial"/>
                <w:b w:val="false"/>
                <w:bCs w:val="false"/>
                <w:i/>
                <w:iCs/>
                <w:color w:val="595959"/>
                <w:sz w:val="14"/>
                <w:szCs w:val="14"/>
              </w:rPr>
              <w:t xml:space="preserve">Studies using online evaluation: 3, 22, 27, 30 (intracortical); 8 (sEEG)</w:t>
            </w:r>
          </w:p>
        </w:tc>
        <w:tc>
          <w:tcPr>
            <w:tcW w:type="dxa" w:w="49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0" w:before="0"/>
            </w:pPr>
            <w:r>
              <w:rPr>
                <w:rFonts w:ascii="Arial" w:cs="Arial" w:eastAsia="Arial" w:hAnsi="Arial"/>
                <w:b w:val="false"/>
                <w:bCs w:val="false"/>
                <w:i w:val="false"/>
                <w:iCs w:val="false"/>
                <w:color w:val="000000"/>
                <w:sz w:val="15"/>
                <w:szCs w:val="15"/>
              </w:rPr>
              <w:t xml:space="preserve">The absence of a standardized evaluation protocol is a major source of incomparability across this literature. EEG studies typically report performance via cross-validation on pooled session data — a procedure that allows signal leakage between training and test sets if not carefully implemented. Intracortical neuroprosthesis studies evaluate online in real clinical settings where signal drift, fatigue, and electrode degradation are real factors. These evaluation contexts are so different that the resulting performance numbers address fundamentally different questions. Standardized evaluation protocols — analogous to LibriSpeech for speech recognition — are identified as a priority research need in Section 7.5.</w:t>
            </w:r>
          </w:p>
        </w:tc>
      </w:tr>
      <w:tr>
        <w:tc>
          <w:tcPr>
            <w:tcW w:type="dxa" w:w="14400"/>
            <w:gridSpan w:val="6"/>
            <w:tcBorders>
              <w:top w:val="single" w:color="1F4E79" w:sz="4"/>
              <w:left w:val="single" w:color="CCCCCC" w:sz="1"/>
              <w:bottom w:val="single" w:color="1F4E79" w:sz="4"/>
              <w:right w:val="single" w:color="CCCCCC" w:sz="1"/>
            </w:tcBorders>
            <w:shd w:fill="1F4E79" w:val="clear"/>
            <w:tcMar>
              <w:top w:type="dxa" w:w="60"/>
              <w:left w:type="dxa" w:w="120"/>
              <w:bottom w:type="dxa" w:w="60"/>
              <w:right w:type="dxa" w:w="120"/>
            </w:tcMar>
          </w:tcPr>
          <w:p>
            <w:pPr>
              <w:spacing w:after="0" w:before="0"/>
            </w:pPr>
            <w:r>
              <w:rPr>
                <w:rFonts w:ascii="Arial" w:cs="Arial" w:eastAsia="Arial" w:hAnsi="Arial"/>
                <w:b/>
                <w:bCs/>
                <w:i w:val="false"/>
                <w:iCs w:val="false"/>
                <w:color w:val="FFFFFF"/>
                <w:sz w:val="17"/>
                <w:szCs w:val="17"/>
              </w:rPr>
              <w:t xml:space="preserve">SECTION D — DIVERSITY AND REPRESENTATION FACTORS</w:t>
            </w:r>
          </w:p>
        </w:tc>
      </w:tr>
      <w:tr>
        <w:tc>
          <w:tcPr>
            <w:tcW w:type="dxa" w:w="20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20" w:before="0"/>
            </w:pPr>
            <w:r>
              <w:rPr>
                <w:rFonts w:ascii="Arial" w:cs="Arial" w:eastAsia="Arial" w:hAnsi="Arial"/>
                <w:b/>
                <w:bCs/>
                <w:i w:val="false"/>
                <w:iCs w:val="false"/>
                <w:color w:val="000000"/>
                <w:sz w:val="17"/>
                <w:szCs w:val="17"/>
              </w:rPr>
              <w:t xml:space="preserve">7. Language and
dataset diversity</w:t>
            </w:r>
          </w:p>
          <w:p>
            <w:pPr>
              <w:spacing w:after="28" w:before="0"/>
            </w:pPr>
            <w:r>
              <w:rPr>
                <w:rFonts w:ascii="Arial" w:cs="Arial" w:eastAsia="Arial" w:hAnsi="Arial"/>
                <w:b w:val="false"/>
                <w:bCs w:val="false"/>
                <w:i/>
                <w:iCs/>
                <w:color w:val="595959"/>
                <w:sz w:val="14"/>
                <w:szCs w:val="14"/>
              </w:rPr>
              <w:t xml:space="preserve">Language of decoding task; whether multiple languages or datasets evaluated</w:t>
            </w:r>
          </w:p>
        </w:tc>
        <w:tc>
          <w:tcPr>
            <w:tcW w:type="dxa" w:w="24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28" w:before="0"/>
              <w:ind w:left="220" w:hanging="200"/>
            </w:pPr>
            <w:r>
              <w:rPr>
                <w:rFonts w:ascii="Arial" w:cs="Arial" w:eastAsia="Arial" w:hAnsi="Arial"/>
                <w:b w:val="false"/>
                <w:bCs w:val="false"/>
                <w:i w:val="false"/>
                <w:iCs w:val="false"/>
                <w:color w:val="000000"/>
                <w:sz w:val="15"/>
                <w:szCs w:val="15"/>
              </w:rPr>
              <w:t xml:space="preserve">•  English-only: ~67 of 71 studies (94%)</w:t>
            </w:r>
          </w:p>
          <w:p>
            <w:pPr>
              <w:spacing w:after="28" w:before="0"/>
              <w:ind w:left="220" w:hanging="200"/>
            </w:pPr>
            <w:r>
              <w:rPr>
                <w:rFonts w:ascii="Arial" w:cs="Arial" w:eastAsia="Arial" w:hAnsi="Arial"/>
                <w:b w:val="false"/>
                <w:bCs w:val="false"/>
                <w:i w:val="false"/>
                <w:iCs w:val="false"/>
                <w:color w:val="000000"/>
                <w:sz w:val="15"/>
                <w:szCs w:val="15"/>
              </w:rPr>
              <w:t xml:space="preserve">•  Mandarin Chinese: Li 2022 (sEMG tonal), Song 2023 (HD-sEMG)</w:t>
            </w:r>
          </w:p>
          <w:p>
            <w:pPr>
              <w:spacing w:after="28" w:before="0"/>
              <w:ind w:left="220" w:hanging="200"/>
            </w:pPr>
            <w:r>
              <w:rPr>
                <w:rFonts w:ascii="Arial" w:cs="Arial" w:eastAsia="Arial" w:hAnsi="Arial"/>
                <w:b w:val="false"/>
                <w:bCs w:val="false"/>
                <w:i w:val="false"/>
                <w:iCs w:val="false"/>
                <w:color w:val="000000"/>
                <w:sz w:val="15"/>
                <w:szCs w:val="15"/>
              </w:rPr>
              <w:t xml:space="preserve">•  Three languages (EN, FR, NL): d'Ascoli 2025 only</w:t>
            </w:r>
          </w:p>
          <w:p>
            <w:pPr>
              <w:spacing w:after="28" w:before="0"/>
              <w:ind w:left="220" w:hanging="200"/>
            </w:pPr>
            <w:r>
              <w:rPr>
                <w:rFonts w:ascii="Arial" w:cs="Arial" w:eastAsia="Arial" w:hAnsi="Arial"/>
                <w:b w:val="false"/>
                <w:bCs w:val="false"/>
                <w:i w:val="false"/>
                <w:iCs w:val="false"/>
                <w:color w:val="000000"/>
                <w:sz w:val="15"/>
                <w:szCs w:val="15"/>
              </w:rPr>
              <w:t xml:space="preserve">•  English + Chinese: Zhu 2021 (HD-sEMG digit classification)</w:t>
            </w:r>
          </w:p>
          <w:p>
            <w:pPr>
              <w:spacing w:after="28" w:before="0"/>
              <w:ind w:left="220" w:hanging="200"/>
            </w:pPr>
            <w:r>
              <w:rPr>
                <w:rFonts w:ascii="Arial" w:cs="Arial" w:eastAsia="Arial" w:hAnsi="Arial"/>
                <w:b w:val="false"/>
                <w:bCs w:val="false"/>
                <w:i w:val="false"/>
                <w:iCs w:val="false"/>
                <w:color w:val="000000"/>
                <w:sz w:val="15"/>
                <w:szCs w:val="15"/>
              </w:rPr>
              <w:t xml:space="preserve">•  Single dataset / lab: majority of included studies</w:t>
            </w:r>
          </w:p>
          <w:p>
            <w:pPr>
              <w:spacing w:after="28" w:before="0"/>
              <w:ind w:left="220" w:hanging="200"/>
            </w:pPr>
            <w:r>
              <w:rPr>
                <w:rFonts w:ascii="Arial" w:cs="Arial" w:eastAsia="Arial" w:hAnsi="Arial"/>
                <w:b w:val="false"/>
                <w:bCs w:val="false"/>
                <w:i w:val="false"/>
                <w:iCs w:val="false"/>
                <w:color w:val="000000"/>
                <w:sz w:val="15"/>
                <w:szCs w:val="15"/>
              </w:rPr>
              <w:t xml:space="preserve">•  Multi-dataset: Défossez 2023 (4 datasets), d'Ascoli 2025 (7 datasets)</w:t>
            </w:r>
          </w:p>
          <w:p>
            <w:pPr>
              <w:spacing w:after="28" w:before="0"/>
            </w:pPr>
            <w:r>
              <w:rPr>
                <w:rFonts w:ascii="Arial" w:cs="Arial" w:eastAsia="Arial" w:hAnsi="Arial"/>
                <w:b w:val="false"/>
                <w:bCs w:val="false"/>
                <w:i/>
                <w:iCs/>
                <w:color w:val="595959"/>
                <w:sz w:val="14"/>
                <w:szCs w:val="14"/>
              </w:rPr>
              <w:t xml:space="preserve">94% English-only; no Arabic, Spanish, or Hindi datasets in this review</w:t>
            </w:r>
          </w:p>
        </w:tc>
        <w:tc>
          <w:tcPr>
            <w:tcW w:type="dxa" w:w="14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20" w:before="0"/>
            </w:pPr>
            <w:r>
              <w:rPr>
                <w:rFonts w:ascii="Arial" w:cs="Arial" w:eastAsia="Arial" w:hAnsi="Arial"/>
                <w:b/>
                <w:bCs/>
                <w:i w:val="false"/>
                <w:iCs w:val="false"/>
                <w:color w:val="000000"/>
                <w:sz w:val="15"/>
                <w:szCs w:val="15"/>
              </w:rPr>
              <w:t xml:space="preserve">English-dominant benchmarks do not generalize to other languages.</w:t>
            </w:r>
          </w:p>
          <w:p>
            <w:pPr>
              <w:spacing w:after="28" w:before="0"/>
              <w:ind w:left="220" w:hanging="200"/>
            </w:pPr>
            <w:r>
              <w:rPr>
                <w:rFonts w:ascii="Arial" w:cs="Arial" w:eastAsia="Arial" w:hAnsi="Arial"/>
                <w:b w:val="false"/>
                <w:bCs w:val="false"/>
                <w:i w:val="false"/>
                <w:iCs w:val="false"/>
                <w:color w:val="000000"/>
                <w:sz w:val="15"/>
                <w:szCs w:val="15"/>
              </w:rPr>
              <w:t xml:space="preserve">•  Tonal languages (Mandarin) require fundamentally different decoding targets</w:t>
            </w:r>
          </w:p>
          <w:p>
            <w:pPr>
              <w:spacing w:after="28" w:before="0"/>
              <w:ind w:left="220" w:hanging="200"/>
            </w:pPr>
            <w:r>
              <w:rPr>
                <w:rFonts w:ascii="Arial" w:cs="Arial" w:eastAsia="Arial" w:hAnsi="Arial"/>
                <w:b w:val="false"/>
                <w:bCs w:val="false"/>
                <w:i w:val="false"/>
                <w:iCs w:val="false"/>
                <w:color w:val="000000"/>
                <w:sz w:val="15"/>
                <w:szCs w:val="15"/>
              </w:rPr>
              <w:t xml:space="preserve">•  CER for character-based languages is not comparable to WER for word-based</w:t>
            </w:r>
          </w:p>
          <w:p>
            <w:pPr>
              <w:spacing w:after="0" w:before="0"/>
            </w:pPr>
            <w:r>
              <w:rPr>
                <w:rFonts w:ascii="Arial" w:cs="Arial" w:eastAsia="Arial" w:hAnsi="Arial"/>
                <w:b w:val="false"/>
                <w:bCs w:val="false"/>
                <w:i/>
                <w:iCs/>
                <w:color w:val="000000"/>
                <w:sz w:val="15"/>
                <w:szCs w:val="15"/>
              </w:rPr>
              <w:t xml:space="preserve">Direction: unknown — performance on non-English languages is largely unstudied.</w:t>
            </w:r>
          </w:p>
        </w:tc>
        <w:tc>
          <w:tcPr>
            <w:tcW w:type="dxa" w:w="900"/>
            <w:tcBorders>
              <w:top w:val="single" w:color="CCCCCC" w:sz="1"/>
              <w:left w:val="single" w:color="CCCCCC" w:sz="1"/>
              <w:bottom w:val="single" w:color="CCCCCC" w:sz="1"/>
              <w:right w:val="single" w:color="CCCCCC" w:sz="1"/>
            </w:tcBorders>
            <w:shd w:fill="E67E22" w:val="clear"/>
            <w:tcMar>
              <w:top w:type="dxa" w:w="90"/>
              <w:left w:type="dxa" w:w="80"/>
              <w:bottom w:type="dxa" w:w="90"/>
              <w:right w:type="dxa" w:w="80"/>
            </w:tcMar>
            <w:vAlign w:val="center"/>
          </w:tcPr>
          <w:p>
            <w:pPr>
              <w:spacing w:after="0" w:before="0"/>
              <w:jc w:val="center"/>
            </w:pPr>
            <w:r>
              <w:rPr>
                <w:rFonts w:ascii="Arial" w:cs="Arial" w:eastAsia="Arial" w:hAnsi="Arial"/>
                <w:b/>
                <w:bCs/>
                <w:i w:val="false"/>
                <w:iCs w:val="false"/>
                <w:color w:val="FFFFFF"/>
                <w:sz w:val="15"/>
                <w:szCs w:val="15"/>
              </w:rPr>
              <w:t xml:space="preserve">MAJOR</w:t>
            </w:r>
          </w:p>
        </w:tc>
        <w:tc>
          <w:tcPr>
            <w:tcW w:type="dxa" w:w="28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36" w:before="0"/>
            </w:pPr>
            <w:r>
              <w:rPr>
                <w:rFonts w:ascii="Arial" w:cs="Arial" w:eastAsia="Arial" w:hAnsi="Arial"/>
                <w:b/>
                <w:bCs/>
                <w:i w:val="false"/>
                <w:iCs w:val="false"/>
                <w:color w:val="000000"/>
                <w:sz w:val="16"/>
                <w:szCs w:val="16"/>
              </w:rPr>
              <w:t xml:space="preserve">English dominance: </w:t>
            </w:r>
            <w:r>
              <w:rPr>
                <w:rFonts w:ascii="Arial" w:cs="Arial" w:eastAsia="Arial" w:hAnsi="Arial"/>
                <w:b w:val="false"/>
                <w:bCs w:val="false"/>
                <w:i w:val="false"/>
                <w:iCs w:val="false"/>
                <w:color w:val="000000"/>
                <w:sz w:val="16"/>
                <w:szCs w:val="16"/>
              </w:rPr>
              <w:t xml:space="preserve">67/71 studies (94%) are English-only — the field's benchmark landscape is English-centric</w:t>
            </w:r>
          </w:p>
          <w:p>
            <w:pPr>
              <w:spacing w:after="36" w:before="0"/>
            </w:pPr>
            <w:r>
              <w:rPr>
                <w:rFonts w:ascii="Arial" w:cs="Arial" w:eastAsia="Arial" w:hAnsi="Arial"/>
                <w:b/>
                <w:bCs/>
                <w:i w:val="false"/>
                <w:iCs w:val="false"/>
                <w:color w:val="000000"/>
                <w:sz w:val="16"/>
                <w:szCs w:val="16"/>
              </w:rPr>
              <w:t xml:space="preserve">Tonal exception: </w:t>
            </w:r>
            <w:r>
              <w:rPr>
                <w:rFonts w:ascii="Arial" w:cs="Arial" w:eastAsia="Arial" w:hAnsi="Arial"/>
                <w:b w:val="false"/>
                <w:bCs w:val="false"/>
                <w:i w:val="false"/>
                <w:iCs w:val="false"/>
                <w:color w:val="000000"/>
                <w:sz w:val="16"/>
                <w:szCs w:val="16"/>
              </w:rPr>
              <w:t xml:space="preserve">Song 2023 CER 3.11% (Chinese HD-sEMG) is not comparable to WER metrics from English studies</w:t>
            </w:r>
          </w:p>
          <w:p>
            <w:pPr>
              <w:spacing w:after="36" w:before="0"/>
            </w:pPr>
            <w:r>
              <w:rPr>
                <w:rFonts w:ascii="Arial" w:cs="Arial" w:eastAsia="Arial" w:hAnsi="Arial"/>
                <w:b/>
                <w:bCs/>
                <w:i w:val="false"/>
                <w:iCs w:val="false"/>
                <w:color w:val="000000"/>
                <w:sz w:val="16"/>
                <w:szCs w:val="16"/>
              </w:rPr>
              <w:t xml:space="preserve">Scale gap: </w:t>
            </w:r>
            <w:r>
              <w:rPr>
                <w:rFonts w:ascii="Arial" w:cs="Arial" w:eastAsia="Arial" w:hAnsi="Arial"/>
                <w:b w:val="false"/>
                <w:bCs w:val="false"/>
                <w:i w:val="false"/>
                <w:iCs w:val="false"/>
                <w:color w:val="000000"/>
                <w:sz w:val="16"/>
                <w:szCs w:val="16"/>
              </w:rPr>
              <w:t xml:space="preserve">d'Ascoli 2025 is the only study to systematically evaluate cross-language non-invasive decoding</w:t>
            </w:r>
          </w:p>
          <w:p>
            <w:pPr>
              <w:spacing w:after="36" w:before="0"/>
            </w:pPr>
            <w:r>
              <w:rPr>
                <w:rFonts w:ascii="Arial" w:cs="Arial" w:eastAsia="Arial" w:hAnsi="Arial"/>
                <w:b/>
                <w:bCs/>
                <w:i w:val="false"/>
                <w:iCs w:val="false"/>
                <w:color w:val="000000"/>
                <w:sz w:val="16"/>
                <w:szCs w:val="16"/>
              </w:rPr>
              <w:t xml:space="preserve">Missing languages: </w:t>
            </w:r>
            <w:r>
              <w:rPr>
                <w:rFonts w:ascii="Arial" w:cs="Arial" w:eastAsia="Arial" w:hAnsi="Arial"/>
                <w:b w:val="false"/>
                <w:bCs w:val="false"/>
                <w:i w:val="false"/>
                <w:iCs w:val="false"/>
                <w:color w:val="000000"/>
                <w:sz w:val="16"/>
                <w:szCs w:val="16"/>
              </w:rPr>
              <w:t xml:space="preserve">No Arabic, Hindi, Spanish, Portuguese, or African language studies in 71 included</w:t>
            </w:r>
          </w:p>
        </w:tc>
        <w:tc>
          <w:tcPr>
            <w:tcW w:type="dxa" w:w="4900"/>
            <w:tcBorders>
              <w:top w:val="single" w:color="CCCCCC" w:sz="1"/>
              <w:left w:val="single" w:color="CCCCCC" w:sz="1"/>
              <w:bottom w:val="single" w:color="CCCCCC" w:sz="1"/>
              <w:right w:val="single" w:color="CCCCCC" w:sz="1"/>
            </w:tcBorders>
            <w:shd w:fill="FFF2CC" w:val="clear"/>
            <w:tcMar>
              <w:top w:type="dxa" w:w="90"/>
              <w:left w:type="dxa" w:w="110"/>
              <w:bottom w:type="dxa" w:w="90"/>
              <w:right w:type="dxa" w:w="110"/>
            </w:tcMar>
            <w:vAlign w:val="top"/>
          </w:tcPr>
          <w:p>
            <w:pPr>
              <w:spacing w:after="0" w:before="0"/>
            </w:pPr>
            <w:r>
              <w:rPr>
                <w:rFonts w:ascii="Arial" w:cs="Arial" w:eastAsia="Arial" w:hAnsi="Arial"/>
                <w:b w:val="false"/>
                <w:bCs w:val="false"/>
                <w:i w:val="false"/>
                <w:iCs w:val="false"/>
                <w:color w:val="000000"/>
                <w:sz w:val="15"/>
                <w:szCs w:val="15"/>
              </w:rPr>
              <w:t xml:space="preserve">The English-language dominance of this literature creates an unacknowledged benchmark bias — all reported performance figures implicitly assume English phonology, vocabulary, and syntax. For approximately 5.5 billion non-English speakers globally, the practical accessibility of brain-to-speech technology depends on extending these methods to other languages. The CER of 3.11% reported by Song 2023 for Chinese HD-sEMG cannot be compared to English WER figures — they measure different linguistic units in typologically distinct languages. d'Ascoli 2025 is a rare exception demonstrating cross-language non-invasive decoding, but it covers only three European languages. Language diversity is identified as a research priority in Section 7.7.</w:t>
            </w:r>
          </w:p>
        </w:tc>
      </w:tr>
      <w:tr>
        <w:tc>
          <w:tcPr>
            <w:tcW w:type="dxa" w:w="2000"/>
            <w:tcBorders>
              <w:top w:val="single" w:color="CCCCCC" w:sz="1"/>
              <w:left w:val="single" w:color="CCCCCC" w:sz="1"/>
              <w:bottom w:val="single" w:color="CCCCCC" w:sz="1"/>
              <w:right w:val="single" w:color="CCCCCC" w:sz="1"/>
            </w:tcBorders>
            <w:shd w:fill="EBF3FB" w:val="clear"/>
            <w:tcMar>
              <w:top w:type="dxa" w:w="90"/>
              <w:left w:type="dxa" w:w="110"/>
              <w:bottom w:type="dxa" w:w="90"/>
              <w:right w:type="dxa" w:w="110"/>
            </w:tcMar>
            <w:vAlign w:val="top"/>
          </w:tcPr>
          <w:p>
            <w:pPr>
              <w:spacing w:after="20" w:before="0"/>
            </w:pPr>
            <w:r>
              <w:rPr>
                <w:rFonts w:ascii="Arial" w:cs="Arial" w:eastAsia="Arial" w:hAnsi="Arial"/>
                <w:b/>
                <w:bCs/>
                <w:i w:val="false"/>
                <w:iCs w:val="false"/>
                <w:color w:val="000000"/>
                <w:sz w:val="17"/>
                <w:szCs w:val="17"/>
              </w:rPr>
              <w:t xml:space="preserve">8. Reporting
completeness</w:t>
            </w:r>
          </w:p>
          <w:p>
            <w:pPr>
              <w:spacing w:after="28" w:before="0"/>
            </w:pPr>
            <w:r>
              <w:rPr>
                <w:rFonts w:ascii="Arial" w:cs="Arial" w:eastAsia="Arial" w:hAnsi="Arial"/>
                <w:b w:val="false"/>
                <w:bCs w:val="false"/>
                <w:i/>
                <w:iCs/>
                <w:color w:val="595959"/>
                <w:sz w:val="14"/>
                <w:szCs w:val="14"/>
              </w:rPr>
              <w:t xml:space="preserve">Whether sufficient methodological detail is provided for independent replication and benchmark validation</w:t>
            </w:r>
          </w:p>
        </w:tc>
        <w:tc>
          <w:tcPr>
            <w:tcW w:type="dxa" w:w="2400"/>
            <w:tcBorders>
              <w:top w:val="single" w:color="CCCCCC" w:sz="1"/>
              <w:left w:val="single" w:color="CCCCCC" w:sz="1"/>
              <w:bottom w:val="single" w:color="CCCCCC" w:sz="1"/>
              <w:right w:val="single" w:color="CCCCCC" w:sz="1"/>
            </w:tcBorders>
            <w:shd w:fill="EBF3FB" w:val="clear"/>
            <w:tcMar>
              <w:top w:type="dxa" w:w="90"/>
              <w:left w:type="dxa" w:w="110"/>
              <w:bottom w:type="dxa" w:w="90"/>
              <w:right w:type="dxa" w:w="110"/>
            </w:tcMar>
            <w:vAlign w:val="top"/>
          </w:tcPr>
          <w:p>
            <w:pPr>
              <w:spacing w:after="28" w:before="0"/>
              <w:ind w:left="220" w:hanging="200"/>
            </w:pPr>
            <w:r>
              <w:rPr>
                <w:rFonts w:ascii="Arial" w:cs="Arial" w:eastAsia="Arial" w:hAnsi="Arial"/>
                <w:b w:val="false"/>
                <w:bCs w:val="false"/>
                <w:i w:val="false"/>
                <w:iCs w:val="false"/>
                <w:color w:val="000000"/>
                <w:sz w:val="15"/>
                <w:szCs w:val="15"/>
              </w:rPr>
              <w:t xml:space="preserve">•  Confidence intervals / standard deviations: reported in minority of studies</w:t>
            </w:r>
          </w:p>
          <w:p>
            <w:pPr>
              <w:spacing w:after="28" w:before="0"/>
              <w:ind w:left="220" w:hanging="200"/>
            </w:pPr>
            <w:r>
              <w:rPr>
                <w:rFonts w:ascii="Arial" w:cs="Arial" w:eastAsia="Arial" w:hAnsi="Arial"/>
                <w:b w:val="false"/>
                <w:bCs w:val="false"/>
                <w:i w:val="false"/>
                <w:iCs w:val="false"/>
                <w:color w:val="000000"/>
                <w:sz w:val="15"/>
                <w:szCs w:val="15"/>
              </w:rPr>
              <w:t xml:space="preserve">•  Code availability: ~25% of studies release source code</w:t>
            </w:r>
          </w:p>
          <w:p>
            <w:pPr>
              <w:spacing w:after="28" w:before="0"/>
              <w:ind w:left="220" w:hanging="200"/>
            </w:pPr>
            <w:r>
              <w:rPr>
                <w:rFonts w:ascii="Arial" w:cs="Arial" w:eastAsia="Arial" w:hAnsi="Arial"/>
                <w:b w:val="false"/>
                <w:bCs w:val="false"/>
                <w:i w:val="false"/>
                <w:iCs w:val="false"/>
                <w:color w:val="000000"/>
                <w:sz w:val="15"/>
                <w:szCs w:val="15"/>
              </w:rPr>
              <w:t xml:space="preserve">•  Dataset availability: ~20% release neural recording data</w:t>
            </w:r>
          </w:p>
          <w:p>
            <w:pPr>
              <w:spacing w:after="28" w:before="0"/>
              <w:ind w:left="220" w:hanging="200"/>
            </w:pPr>
            <w:r>
              <w:rPr>
                <w:rFonts w:ascii="Arial" w:cs="Arial" w:eastAsia="Arial" w:hAnsi="Arial"/>
                <w:b w:val="false"/>
                <w:bCs w:val="false"/>
                <w:i w:val="false"/>
                <w:iCs w:val="false"/>
                <w:color w:val="000000"/>
                <w:sz w:val="15"/>
                <w:szCs w:val="15"/>
              </w:rPr>
              <w:t xml:space="preserve">•  Participant characteristics: age and sex frequently unreported</w:t>
            </w:r>
          </w:p>
          <w:p>
            <w:pPr>
              <w:spacing w:after="28" w:before="0"/>
              <w:ind w:left="220" w:hanging="200"/>
            </w:pPr>
            <w:r>
              <w:rPr>
                <w:rFonts w:ascii="Arial" w:cs="Arial" w:eastAsia="Arial" w:hAnsi="Arial"/>
                <w:b w:val="false"/>
                <w:bCs w:val="false"/>
                <w:i w:val="false"/>
                <w:iCs w:val="false"/>
                <w:color w:val="000000"/>
                <w:sz w:val="15"/>
                <w:szCs w:val="15"/>
              </w:rPr>
              <w:t xml:space="preserve">•  Training details: learning rate, batch size, stopping criteria often omitted</w:t>
            </w:r>
          </w:p>
          <w:p>
            <w:pPr>
              <w:spacing w:after="28" w:before="0"/>
              <w:ind w:left="220" w:hanging="200"/>
            </w:pPr>
            <w:r>
              <w:rPr>
                <w:rFonts w:ascii="Arial" w:cs="Arial" w:eastAsia="Arial" w:hAnsi="Arial"/>
                <w:b w:val="false"/>
                <w:bCs w:val="false"/>
                <w:i w:val="false"/>
                <w:iCs w:val="false"/>
                <w:color w:val="000000"/>
                <w:sz w:val="15"/>
                <w:szCs w:val="15"/>
              </w:rPr>
              <w:t xml:space="preserve">•  Statistical significance: rarely tested for benchmark comparisons</w:t>
            </w:r>
          </w:p>
          <w:p>
            <w:pPr>
              <w:spacing w:after="28" w:before="0"/>
            </w:pPr>
            <w:r>
              <w:rPr>
                <w:rFonts w:ascii="Arial" w:cs="Arial" w:eastAsia="Arial" w:hAnsi="Arial"/>
                <w:b w:val="false"/>
                <w:bCs w:val="false"/>
                <w:i/>
                <w:iCs/>
                <w:color w:val="595959"/>
                <w:sz w:val="14"/>
                <w:szCs w:val="14"/>
              </w:rPr>
              <w:t xml:space="preserve">Quality assessment via 7-dimension checklist (Section 2) — full results in Appendix D</w:t>
            </w:r>
          </w:p>
        </w:tc>
        <w:tc>
          <w:tcPr>
            <w:tcW w:type="dxa" w:w="1400"/>
            <w:tcBorders>
              <w:top w:val="single" w:color="CCCCCC" w:sz="1"/>
              <w:left w:val="single" w:color="CCCCCC" w:sz="1"/>
              <w:bottom w:val="single" w:color="CCCCCC" w:sz="1"/>
              <w:right w:val="single" w:color="CCCCCC" w:sz="1"/>
            </w:tcBorders>
            <w:shd w:fill="EBF3FB" w:val="clear"/>
            <w:tcMar>
              <w:top w:type="dxa" w:w="90"/>
              <w:left w:type="dxa" w:w="110"/>
              <w:bottom w:type="dxa" w:w="90"/>
              <w:right w:type="dxa" w:w="110"/>
            </w:tcMar>
            <w:vAlign w:val="top"/>
          </w:tcPr>
          <w:p>
            <w:pPr>
              <w:spacing w:after="20" w:before="0"/>
            </w:pPr>
            <w:r>
              <w:rPr>
                <w:rFonts w:ascii="Arial" w:cs="Arial" w:eastAsia="Arial" w:hAnsi="Arial"/>
                <w:b/>
                <w:bCs/>
                <w:i w:val="false"/>
                <w:iCs w:val="false"/>
                <w:color w:val="000000"/>
                <w:sz w:val="15"/>
                <w:szCs w:val="15"/>
              </w:rPr>
              <w:t xml:space="preserve">Incomplete reporting → unverifiable benchmarks.</w:t>
            </w:r>
          </w:p>
          <w:p>
            <w:pPr>
              <w:spacing w:after="28" w:before="0"/>
              <w:ind w:left="220" w:hanging="200"/>
            </w:pPr>
            <w:r>
              <w:rPr>
                <w:rFonts w:ascii="Arial" w:cs="Arial" w:eastAsia="Arial" w:hAnsi="Arial"/>
                <w:b w:val="false"/>
                <w:bCs w:val="false"/>
                <w:i w:val="false"/>
                <w:iCs w:val="false"/>
                <w:color w:val="000000"/>
                <w:sz w:val="15"/>
                <w:szCs w:val="15"/>
              </w:rPr>
              <w:t xml:space="preserve">•  Without training/evaluation details, reported performance cannot be reproduced</w:t>
            </w:r>
          </w:p>
          <w:p>
            <w:pPr>
              <w:spacing w:after="28" w:before="0"/>
              <w:ind w:left="220" w:hanging="200"/>
            </w:pPr>
            <w:r>
              <w:rPr>
                <w:rFonts w:ascii="Arial" w:cs="Arial" w:eastAsia="Arial" w:hAnsi="Arial"/>
                <w:b w:val="false"/>
                <w:bCs w:val="false"/>
                <w:i w:val="false"/>
                <w:iCs w:val="false"/>
                <w:color w:val="000000"/>
                <w:sz w:val="15"/>
                <w:szCs w:val="15"/>
              </w:rPr>
              <w:t xml:space="preserve">•  No SDs or CIs means significance of performance differences cannot be assessed</w:t>
            </w:r>
          </w:p>
          <w:p>
            <w:pPr>
              <w:spacing w:after="0" w:before="0"/>
            </w:pPr>
            <w:r>
              <w:rPr>
                <w:rFonts w:ascii="Arial" w:cs="Arial" w:eastAsia="Arial" w:hAnsi="Arial"/>
                <w:b w:val="false"/>
                <w:bCs w:val="false"/>
                <w:i/>
                <w:iCs/>
                <w:color w:val="000000"/>
                <w:sz w:val="15"/>
                <w:szCs w:val="15"/>
              </w:rPr>
              <w:t xml:space="preserve">Direction: incomplete reporting biases toward overstatement of performance.</w:t>
            </w:r>
          </w:p>
        </w:tc>
        <w:tc>
          <w:tcPr>
            <w:tcW w:type="dxa" w:w="900"/>
            <w:tcBorders>
              <w:top w:val="single" w:color="CCCCCC" w:sz="1"/>
              <w:left w:val="single" w:color="CCCCCC" w:sz="1"/>
              <w:bottom w:val="single" w:color="CCCCCC" w:sz="1"/>
              <w:right w:val="single" w:color="CCCCCC" w:sz="1"/>
            </w:tcBorders>
            <w:shd w:fill="27AE60" w:val="clear"/>
            <w:tcMar>
              <w:top w:type="dxa" w:w="90"/>
              <w:left w:type="dxa" w:w="80"/>
              <w:bottom w:type="dxa" w:w="90"/>
              <w:right w:type="dxa" w:w="80"/>
            </w:tcMar>
            <w:vAlign w:val="center"/>
          </w:tcPr>
          <w:p>
            <w:pPr>
              <w:spacing w:after="0" w:before="0"/>
              <w:jc w:val="center"/>
            </w:pPr>
            <w:r>
              <w:rPr>
                <w:rFonts w:ascii="Arial" w:cs="Arial" w:eastAsia="Arial" w:hAnsi="Arial"/>
                <w:b/>
                <w:bCs/>
                <w:i w:val="false"/>
                <w:iCs w:val="false"/>
                <w:color w:val="FFFFFF"/>
                <w:sz w:val="15"/>
                <w:szCs w:val="15"/>
              </w:rPr>
              <w:t xml:space="preserve">MODERATE</w:t>
            </w:r>
          </w:p>
        </w:tc>
        <w:tc>
          <w:tcPr>
            <w:tcW w:type="dxa" w:w="2800"/>
            <w:tcBorders>
              <w:top w:val="single" w:color="CCCCCC" w:sz="1"/>
              <w:left w:val="single" w:color="CCCCCC" w:sz="1"/>
              <w:bottom w:val="single" w:color="CCCCCC" w:sz="1"/>
              <w:right w:val="single" w:color="CCCCCC" w:sz="1"/>
            </w:tcBorders>
            <w:shd w:fill="EBF3FB" w:val="clear"/>
            <w:tcMar>
              <w:top w:type="dxa" w:w="90"/>
              <w:left w:type="dxa" w:w="110"/>
              <w:bottom w:type="dxa" w:w="90"/>
              <w:right w:type="dxa" w:w="110"/>
            </w:tcMar>
            <w:vAlign w:val="top"/>
          </w:tcPr>
          <w:p>
            <w:pPr>
              <w:spacing w:after="36" w:before="0"/>
            </w:pPr>
            <w:r>
              <w:rPr>
                <w:rFonts w:ascii="Arial" w:cs="Arial" w:eastAsia="Arial" w:hAnsi="Arial"/>
                <w:b/>
                <w:bCs/>
                <w:i w:val="false"/>
                <w:iCs w:val="false"/>
                <w:color w:val="000000"/>
                <w:sz w:val="16"/>
                <w:szCs w:val="16"/>
              </w:rPr>
              <w:t xml:space="preserve">Code released: </w:t>
            </w:r>
            <w:r>
              <w:rPr>
                <w:rFonts w:ascii="Arial" w:cs="Arial" w:eastAsia="Arial" w:hAnsi="Arial"/>
                <w:b w:val="false"/>
                <w:bCs w:val="false"/>
                <w:i w:val="false"/>
                <w:iCs w:val="false"/>
                <w:color w:val="000000"/>
                <w:sz w:val="16"/>
                <w:szCs w:val="16"/>
              </w:rPr>
              <w:t xml:space="preserve">BENDR (Kostas 2021), DeWave (Duan 2023), some SSL studies — minority</w:t>
            </w:r>
          </w:p>
          <w:p>
            <w:pPr>
              <w:spacing w:after="36" w:before="0"/>
            </w:pPr>
            <w:r>
              <w:rPr>
                <w:rFonts w:ascii="Arial" w:cs="Arial" w:eastAsia="Arial" w:hAnsi="Arial"/>
                <w:b/>
                <w:bCs/>
                <w:i w:val="false"/>
                <w:iCs w:val="false"/>
                <w:color w:val="000000"/>
                <w:sz w:val="16"/>
                <w:szCs w:val="16"/>
              </w:rPr>
              <w:t xml:space="preserve">Data released: </w:t>
            </w:r>
            <w:r>
              <w:rPr>
                <w:rFonts w:ascii="Arial" w:cs="Arial" w:eastAsia="Arial" w:hAnsi="Arial"/>
                <w:b w:val="false"/>
                <w:bCs w:val="false"/>
                <w:i w:val="false"/>
                <w:iCs w:val="false"/>
                <w:color w:val="000000"/>
                <w:sz w:val="16"/>
                <w:szCs w:val="16"/>
              </w:rPr>
              <w:t xml:space="preserve">Nieto 2022, Berezutskaya 2022, Gwilliams 2023 — open datasets used in some studies</w:t>
            </w:r>
          </w:p>
          <w:p>
            <w:pPr>
              <w:spacing w:after="36" w:before="0"/>
            </w:pPr>
            <w:r>
              <w:rPr>
                <w:rFonts w:ascii="Arial" w:cs="Arial" w:eastAsia="Arial" w:hAnsi="Arial"/>
                <w:b/>
                <w:bCs/>
                <w:i w:val="false"/>
                <w:iCs w:val="false"/>
                <w:color w:val="000000"/>
                <w:sz w:val="16"/>
                <w:szCs w:val="16"/>
              </w:rPr>
              <w:t xml:space="preserve">Missing CI: </w:t>
            </w:r>
            <w:r>
              <w:rPr>
                <w:rFonts w:ascii="Arial" w:cs="Arial" w:eastAsia="Arial" w:hAnsi="Arial"/>
                <w:b w:val="false"/>
                <w:bCs w:val="false"/>
                <w:i w:val="false"/>
                <w:iCs w:val="false"/>
                <w:color w:val="000000"/>
                <w:sz w:val="16"/>
                <w:szCs w:val="16"/>
              </w:rPr>
              <w:t xml:space="preserve">Most n=1–5 studies report point estimates only — statistical significance of claimed benchmarks cannot be assessed</w:t>
            </w:r>
          </w:p>
          <w:p>
            <w:pPr>
              <w:spacing w:after="36" w:before="0"/>
            </w:pPr>
            <w:r>
              <w:rPr>
                <w:rFonts w:ascii="Arial" w:cs="Arial" w:eastAsia="Arial" w:hAnsi="Arial"/>
                <w:b/>
                <w:bCs/>
                <w:i w:val="false"/>
                <w:iCs w:val="false"/>
                <w:color w:val="000000"/>
                <w:sz w:val="16"/>
                <w:szCs w:val="16"/>
              </w:rPr>
              <w:t xml:space="preserve">Replications: </w:t>
            </w:r>
            <w:r>
              <w:rPr>
                <w:rFonts w:ascii="Arial" w:cs="Arial" w:eastAsia="Arial" w:hAnsi="Arial"/>
                <w:b w:val="false"/>
                <w:bCs w:val="false"/>
                <w:i w:val="false"/>
                <w:iCs w:val="false"/>
                <w:color w:val="000000"/>
                <w:sz w:val="16"/>
                <w:szCs w:val="16"/>
              </w:rPr>
              <w:t xml:space="preserve">No independent replication studies identified in 71 included</w:t>
            </w:r>
          </w:p>
        </w:tc>
        <w:tc>
          <w:tcPr>
            <w:tcW w:type="dxa" w:w="4900"/>
            <w:tcBorders>
              <w:top w:val="single" w:color="CCCCCC" w:sz="1"/>
              <w:left w:val="single" w:color="CCCCCC" w:sz="1"/>
              <w:bottom w:val="single" w:color="CCCCCC" w:sz="1"/>
              <w:right w:val="single" w:color="CCCCCC" w:sz="1"/>
            </w:tcBorders>
            <w:shd w:fill="EBF3FB" w:val="clear"/>
            <w:tcMar>
              <w:top w:type="dxa" w:w="90"/>
              <w:left w:type="dxa" w:w="110"/>
              <w:bottom w:type="dxa" w:w="90"/>
              <w:right w:type="dxa" w:w="110"/>
            </w:tcMar>
            <w:vAlign w:val="top"/>
          </w:tcPr>
          <w:p>
            <w:pPr>
              <w:spacing w:after="0" w:before="0"/>
            </w:pPr>
            <w:r>
              <w:rPr>
                <w:rFonts w:ascii="Arial" w:cs="Arial" w:eastAsia="Arial" w:hAnsi="Arial"/>
                <w:b w:val="false"/>
                <w:bCs w:val="false"/>
                <w:i w:val="false"/>
                <w:iCs w:val="false"/>
                <w:color w:val="000000"/>
                <w:sz w:val="15"/>
                <w:szCs w:val="15"/>
              </w:rPr>
              <w:t xml:space="preserve">Benchmark comparability is further limited by inconsistent reporting standards. When confidence intervals are absent — as in most small-n studies — it is impossible to determine whether a WER of 9% vs 11% across two systems represents a meaningful performance difference or measurement noise. The absence of independent replications means no benchmark in this review has been externally validated. The field would benefit substantially from adopting reporting standards analogous to TRIPOD+AI for prediction models — requiring confidence intervals, code availability, and pre-specified evaluation protocols as publication prerequisites. These gaps are assessed quantitatively via the quality checklist in Appendix D.</w:t>
            </w:r>
          </w:p>
        </w:tc>
      </w:tr>
      <w:tr>
        <w:tc>
          <w:tcPr>
            <w:tcW w:type="dxa" w:w="14400"/>
            <w:gridSpan w:val="6"/>
            <w:tcBorders>
              <w:top w:val="single" w:color="1F4E79" w:sz="4"/>
              <w:left w:val="single" w:color="CCCCCC" w:sz="1"/>
              <w:bottom w:val="single" w:color="1F4E79" w:sz="4"/>
              <w:right w:val="single" w:color="CCCCCC" w:sz="1"/>
            </w:tcBorders>
            <w:shd w:fill="1F4E79" w:val="clear"/>
            <w:tcMar>
              <w:top w:type="dxa" w:w="90"/>
              <w:left w:type="dxa" w:w="120"/>
              <w:bottom w:type="dxa" w:w="90"/>
              <w:right w:type="dxa" w:w="120"/>
            </w:tcMar>
          </w:tcPr>
          <w:p>
            <w:pPr>
              <w:spacing w:after="0" w:before="0"/>
            </w:pPr>
            <w:r>
              <w:rPr>
                <w:rFonts w:ascii="Arial" w:cs="Arial" w:eastAsia="Arial" w:hAnsi="Arial"/>
                <w:b/>
                <w:bCs/>
                <w:i w:val="false"/>
                <w:iCs w:val="false"/>
                <w:color w:val="FFFFFF"/>
                <w:sz w:val="16"/>
                <w:szCs w:val="16"/>
              </w:rPr>
              <w:t xml:space="preserve">SUMMARY: </w:t>
            </w:r>
            <w:r>
              <w:rPr>
                <w:rFonts w:ascii="Arial" w:cs="Arial" w:eastAsia="Arial" w:hAnsi="Arial"/>
                <w:b w:val="false"/>
                <w:bCs w:val="false"/>
                <w:i w:val="false"/>
                <w:iCs w:val="false"/>
                <w:color w:val="FFFFFF"/>
                <w:sz w:val="15"/>
                <w:szCs w:val="15"/>
              </w:rPr>
              <w:t xml:space="preserve">3 CRITICAL dimensions (vocabulary size, task type, metric heterogeneity) make direct cross-study WER/accuracy comparison invalid without stratification.  </w:t>
            </w:r>
            <w:r>
              <w:rPr>
                <w:rFonts w:ascii="Arial" w:cs="Arial" w:eastAsia="Arial" w:hAnsi="Arial"/>
                <w:b w:val="false"/>
                <w:bCs w:val="false"/>
                <w:i w:val="false"/>
                <w:iCs w:val="false"/>
                <w:color w:val="FFFFFF"/>
                <w:sz w:val="15"/>
                <w:szCs w:val="15"/>
              </w:rPr>
              <w:t xml:space="preserve">4 MAJOR dimensions (sample size, clinical status, evaluation method, language diversity) require explicit acknowledgment when interpreting reported benchmarks.  </w:t>
            </w:r>
            <w:r>
              <w:rPr>
                <w:rFonts w:ascii="Arial" w:cs="Arial" w:eastAsia="Arial" w:hAnsi="Arial"/>
                <w:b w:val="false"/>
                <w:bCs w:val="false"/>
                <w:i w:val="false"/>
                <w:iCs w:val="false"/>
                <w:color w:val="FFFFFF"/>
                <w:sz w:val="15"/>
                <w:szCs w:val="15"/>
              </w:rPr>
              <w:t xml:space="preserve">1 MODERATE dimension (reporting completeness) limits benchmark verifiability.  </w:t>
            </w:r>
            <w:r>
              <w:rPr>
                <w:rFonts w:ascii="Arial" w:cs="Arial" w:eastAsia="Arial" w:hAnsi="Arial"/>
                <w:b/>
                <w:bCs/>
                <w:i w:val="false"/>
                <w:iCs w:val="false"/>
                <w:color w:val="FFF2CC"/>
                <w:sz w:val="15"/>
                <w:szCs w:val="15"/>
              </w:rPr>
              <w:t xml:space="preserve">Core finding: no single 'field performance' figure is meaningful — benchmarks must be interpreted within a modality, task, vocabulary, and metric stratum.</w:t>
            </w:r>
          </w:p>
        </w:tc>
      </w:tr>
    </w:tbl>
    <w:p>
      <w:pPr>
        <w:spacing w:after="0" w:before="120"/>
      </w:pPr>
      <w:r>
        <w:rPr>
          <w:rFonts w:ascii="Arial" w:cs="Arial" w:eastAsia="Arial" w:hAnsi="Arial"/>
          <w:b/>
          <w:bCs/>
          <w:i w:val="false"/>
          <w:iCs w:val="false"/>
          <w:color w:val="000000"/>
          <w:sz w:val="16"/>
          <w:szCs w:val="16"/>
        </w:rPr>
        <w:t xml:space="preserve">Notes. </w:t>
      </w:r>
      <w:r>
        <w:rPr>
          <w:rFonts w:ascii="Arial" w:cs="Arial" w:eastAsia="Arial" w:hAnsi="Arial"/>
          <w:b w:val="false"/>
          <w:bCs w:val="false"/>
          <w:i w:val="false"/>
          <w:iCs w:val="false"/>
          <w:color w:val="595959"/>
          <w:sz w:val="16"/>
          <w:szCs w:val="16"/>
        </w:rPr>
        <w:t xml:space="preserve">This analysis does not imply that the performance values reported in the included studies are incorrect or fabricated — each study's internal validity is assessed separately via the quality checklist in Appendix D. Rather, it documents the structural reasons why cross-study performance comparisons require careful stratification. The CRITICAL dimensions in Section A are necessary conditions for valid comparison, not merely caveats. Table 2 of this review addresses these limitations by stratifying benchmarks by modality group, task type, and vocabulary scope within each row — enabling the most defensible cross-study comparison this literature currently permits.</w:t>
      </w:r>
    </w:p>
    <w:sectPr>
      <w:headerReference w:type="default" r:id="rId7"/>
      <w:footerReference w:type="default" r:id="rId8"/>
      <w:pgSz w:w="15840" w:h="12240" w:orient="landscape"/>
      <w:pgMar w:top="720" w:right="540" w:bottom="72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b w:val="false"/>
        <w:bCs w:val="false"/>
        <w:i w:val="false"/>
        <w:iCs w:val="false"/>
        <w:color w:val="595959"/>
        <w:sz w:val="16"/>
        <w:szCs w:val="16"/>
      </w:rPr>
      <w:t xml:space="preserve">Adeika &amp; Osuagwu  |  Morgan State University  |  Department of Electrical and Computer Engineering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b w:val="false"/>
        <w:bCs w:val="false"/>
        <w:i w:val="false"/>
        <w:iCs w:val="false"/>
        <w:color w:val="595959"/>
        <w:sz w:val="16"/>
        <w:szCs w:val="16"/>
      </w:rPr>
      <w:t xml:space="preserve">Paper 1 — AI for Brain-to-Speech Decoding  |  Table 5: Benchmark Comparability Analysis  |  8 dimensions, 71 studies, 2015–2026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2026-05-01T05:30:49.449Z</dcterms:created>
  <dcterms:modified xsi:type="dcterms:W3CDTF">2026-05-01T05:30:49.450Z</dcterms:modified>
</cp:coreProperties>
</file>

<file path=docProps/custom.xml><?xml version="1.0" encoding="utf-8"?>
<Properties xmlns="http://schemas.openxmlformats.org/officeDocument/2006/custom-properties" xmlns:vt="http://schemas.openxmlformats.org/officeDocument/2006/docPropsVTypes"/>
</file>