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sz w:val="22"/>
          <w:szCs w:val="22"/>
        </w:rPr>
        <w:t xml:space="preserve">March 23, 2026</w:t>
      </w:r>
    </w:p>
    <w:p>
      <w:pPr>
        <w:spacing w:after="40"/>
      </w:pPr>
      <w:r>
        <w:rPr>
          <w:rFonts w:ascii="Arial" w:cs="Arial" w:eastAsia="Arial" w:hAnsi="Arial"/>
          <w:sz w:val="22"/>
          <w:szCs w:val="22"/>
        </w:rPr>
        <w:t xml:space="preserve">VIA EMAIL</w:t>
      </w:r>
    </w:p>
    <w:p>
      <w:pPr>
        <w:spacing w:after="240"/>
      </w:pPr>
      <w:r>
        <w:rPr>
          <w:rFonts w:ascii="Arial" w:cs="Arial" w:eastAsia="Arial" w:hAnsi="Arial"/>
          <w:sz w:val="22"/>
          <w:szCs w:val="22"/>
        </w:rPr>
        <w:t xml:space="preserve">joshua.bishop@arkoosh.com</w:t>
      </w:r>
    </w:p>
    <w:p>
      <w:pPr>
        <w:spacing w:after="40"/>
      </w:pPr>
      <w:r>
        <w:rPr>
          <w:rFonts w:ascii="Arial" w:cs="Arial" w:eastAsia="Arial" w:hAnsi="Arial"/>
          <w:b/>
          <w:bCs/>
          <w:sz w:val="22"/>
          <w:szCs w:val="22"/>
        </w:rPr>
        <w:t xml:space="preserve">Joshua A. Bishop</w:t>
      </w:r>
    </w:p>
    <w:p>
      <w:pPr>
        <w:spacing w:after="40"/>
      </w:pPr>
      <w:r>
        <w:rPr>
          <w:rFonts w:ascii="Arial" w:cs="Arial" w:eastAsia="Arial" w:hAnsi="Arial"/>
          <w:sz w:val="22"/>
          <w:szCs w:val="22"/>
        </w:rPr>
        <w:t xml:space="preserve">Arkoosh Law Offices</w:t>
      </w:r>
    </w:p>
    <w:p>
      <w:pPr>
        <w:spacing w:after="40"/>
      </w:pPr>
      <w:r>
        <w:rPr>
          <w:rFonts w:ascii="Arial" w:cs="Arial" w:eastAsia="Arial" w:hAnsi="Arial"/>
          <w:sz w:val="22"/>
          <w:szCs w:val="22"/>
        </w:rPr>
        <w:t xml:space="preserve">913 W. River Street, Suite 450</w:t>
      </w:r>
    </w:p>
    <w:p>
      <w:pPr>
        <w:spacing w:after="240"/>
      </w:pPr>
      <w:r>
        <w:rPr>
          <w:rFonts w:ascii="Arial" w:cs="Arial" w:eastAsia="Arial" w:hAnsi="Arial"/>
          <w:sz w:val="22"/>
          <w:szCs w:val="22"/>
        </w:rPr>
        <w:t xml:space="preserve">Boise, ID 83701</w:t>
      </w:r>
    </w:p>
    <w:p>
      <w:pPr>
        <w:spacing w:after="40"/>
      </w:pPr>
      <w:r>
        <w:rPr>
          <w:rFonts w:ascii="Arial" w:cs="Arial" w:eastAsia="Arial" w:hAnsi="Arial"/>
          <w:b/>
          <w:bCs/>
          <w:sz w:val="22"/>
          <w:szCs w:val="22"/>
        </w:rPr>
        <w:t xml:space="preserve">Re: Response to Proposed Stipulation and Consent Order</w:t>
      </w:r>
    </w:p>
    <w:p>
      <w:pPr>
        <w:spacing w:after="240"/>
      </w:pPr>
      <w:r>
        <w:rPr>
          <w:rFonts w:ascii="Arial" w:cs="Arial" w:eastAsia="Arial" w:hAnsi="Arial"/>
          <w:sz w:val="22"/>
          <w:szCs w:val="22"/>
        </w:rPr>
        <w:t xml:space="preserve">Case No. 1936785 — Dakota Stewart / Blessed Remodeling, Registration No. 8061070</w:t>
      </w:r>
    </w:p>
    <w:p>
      <w:pPr>
        <w:spacing w:after="240"/>
      </w:pPr>
      <w:r>
        <w:rPr>
          <w:rFonts w:ascii="Arial" w:cs="Arial" w:eastAsia="Arial" w:hAnsi="Arial"/>
          <w:sz w:val="22"/>
          <w:szCs w:val="22"/>
        </w:rPr>
        <w:t xml:space="preserve">Dear Mr. Bishop,</w:t>
      </w:r>
    </w:p>
    <w:p>
      <w:pPr>
        <w:spacing w:after="200"/>
      </w:pPr>
      <w:r>
        <w:rPr>
          <w:rFonts w:ascii="Arial" w:cs="Arial" w:eastAsia="Arial" w:hAnsi="Arial"/>
          <w:sz w:val="22"/>
          <w:szCs w:val="22"/>
        </w:rPr>
        <w:t xml:space="preserve">I am writing in response to your letter dated March 23, 2026 and the enclosed Stipulation and Consent Order. I have reviewed the Stipulation carefully and in its entirety. I respectfully decline to sign the Stipulation as proposed because the factual findings set forth therein are materially incomplete, inaccurate, and do not reflect the substantial documentary evidence that exists in this matter.</w:t>
      </w:r>
    </w:p>
    <w:p>
      <w:pPr>
        <w:spacing w:after="200"/>
      </w:pPr>
      <w:r>
        <w:rPr>
          <w:rFonts w:ascii="Arial" w:cs="Arial" w:eastAsia="Arial" w:hAnsi="Arial"/>
          <w:sz w:val="22"/>
          <w:szCs w:val="22"/>
        </w:rPr>
        <w:t xml:space="preserve">I am requesting a formal hearing before the Idaho Contractors Board pursuant to Title 67, Chapter 52, Idaho Code, and the Idaho Administrative Procedure Act. I intend to present documentary evidence, signed contracts, city inspection records, timestamped communications, and witness testimony that directly contradict the allegations in the proposed Stipulation.</w:t>
      </w:r>
    </w:p>
    <w:p>
      <w:pPr>
        <w:spacing w:after="200"/>
      </w:pPr>
      <w:r>
        <w:rPr>
          <w:rFonts w:ascii="Arial" w:cs="Arial" w:eastAsia="Arial" w:hAnsi="Arial"/>
          <w:sz w:val="22"/>
          <w:szCs w:val="22"/>
        </w:rPr>
        <w:t xml:space="preserve">I am also actively seeking legal counsel and request that the April 23, 2026 response deadline be noted as the date by which I will either appear through counsel or confirm my intent to proceed with a formal hearing. I will ensure that counsel contacts you at their earliest convenience.</w:t>
      </w:r>
    </w:p>
    <w:p>
      <w:pPr>
        <w:pStyle w:val="Heading1"/>
        <w:spacing w:before="280" w:after="120"/>
      </w:pPr>
      <w:r>
        <w:rPr>
          <w:rFonts w:ascii="Arial" w:cs="Arial" w:eastAsia="Arial" w:hAnsi="Arial"/>
          <w:b/>
          <w:bCs/>
          <w:sz w:val="24"/>
          <w:szCs w:val="24"/>
        </w:rPr>
        <w:t xml:space="preserve">I. OVERVIEW OF DISPUTED FACTS</w:t>
      </w:r>
    </w:p>
    <w:p>
      <w:pPr>
        <w:spacing w:after="200"/>
      </w:pPr>
      <w:r>
        <w:rPr>
          <w:rFonts w:ascii="Arial" w:cs="Arial" w:eastAsia="Arial" w:hAnsi="Arial"/>
          <w:sz w:val="22"/>
          <w:szCs w:val="22"/>
        </w:rPr>
        <w:t xml:space="preserve">The Stipulation was drafted solely from the Complainant’s narrative. The Board’s investigation does not appear to have considered or weighed the substantial documentary evidence I possess, including signed contracts with DocuSign verification, signed change orders, city of Nampa building inspection records, timestamped SMS and email communications, and photographic evidence. The following is a point-by-point factual response to the allegations in the Stipulation.</w:t>
      </w:r>
    </w:p>
    <w:p>
      <w:pPr>
        <w:pStyle w:val="Heading1"/>
        <w:spacing w:before="280" w:after="120"/>
      </w:pPr>
      <w:r>
        <w:rPr>
          <w:rFonts w:ascii="Arial" w:cs="Arial" w:eastAsia="Arial" w:hAnsi="Arial"/>
          <w:b/>
          <w:bCs/>
          <w:sz w:val="24"/>
          <w:szCs w:val="24"/>
        </w:rPr>
        <w:t xml:space="preserve">II. RESPONSE TO STIPULATED FACTS</w:t>
      </w:r>
    </w:p>
    <w:p>
      <w:pPr>
        <w:spacing w:after="80"/>
      </w:pPr>
      <w:r>
        <w:rPr>
          <w:rFonts w:ascii="Arial" w:cs="Arial" w:eastAsia="Arial" w:hAnsi="Arial"/>
          <w:b/>
          <w:bCs/>
          <w:sz w:val="22"/>
          <w:szCs w:val="22"/>
        </w:rPr>
        <w:t xml:space="preserve">Paragraphs 5–6: Initial Contract and Deposit</w:t>
      </w:r>
    </w:p>
    <w:p>
      <w:pPr>
        <w:spacing w:after="200"/>
      </w:pPr>
      <w:r>
        <w:rPr>
          <w:rFonts w:ascii="Arial" w:cs="Arial" w:eastAsia="Arial" w:hAnsi="Arial"/>
          <w:sz w:val="22"/>
          <w:szCs w:val="22"/>
        </w:rPr>
        <w:t xml:space="preserve">I acknowledge entering into the contract and receiving the initial deposit. However, the Stipulation omits that the contract was a written Independent Contractor Agreement executed via DocuSign on June 12, 2025, signed by Complainant Stephanie Mowry. The contract expressly incorporated lien rights disclosure as required by Idaho Code §45-525. All contractual procedures were properly followed from inception.</w:t>
      </w:r>
    </w:p>
    <w:p>
      <w:pPr>
        <w:spacing w:after="80"/>
      </w:pPr>
      <w:r>
        <w:rPr>
          <w:rFonts w:ascii="Arial" w:cs="Arial" w:eastAsia="Arial" w:hAnsi="Arial"/>
          <w:b/>
          <w:bCs/>
          <w:sz w:val="22"/>
          <w:szCs w:val="22"/>
        </w:rPr>
        <w:t xml:space="preserve">Paragraphs 7–10: Interior Painting — The Employee Misconduct Allegation</w:t>
      </w:r>
    </w:p>
    <w:p>
      <w:pPr>
        <w:spacing w:after="120"/>
      </w:pPr>
      <w:r>
        <w:rPr>
          <w:rFonts w:ascii="Arial" w:cs="Arial" w:eastAsia="Arial" w:hAnsi="Arial"/>
          <w:sz w:val="22"/>
          <w:szCs w:val="22"/>
        </w:rPr>
        <w:t xml:space="preserve">The Stipulation alleges that my employee was found consuming alcohol and marijuana in the Complainant’s home. I dispute the characterization of these events, and specifically direct the Board’s attention to the following documentary evidence:</w:t>
      </w:r>
    </w:p>
    <w:p>
      <w:pPr>
        <w:pStyle w:val="ListParagraph"/>
        <w:numPr>
          <w:ilvl w:val="0"/>
          <w:numId w:val="2"/>
        </w:numPr>
        <w:spacing w:after="80"/>
      </w:pPr>
      <w:r>
        <w:rPr>
          <w:rFonts w:ascii="Arial" w:cs="Arial" w:eastAsia="Arial" w:hAnsi="Arial"/>
          <w:sz w:val="22"/>
          <w:szCs w:val="22"/>
        </w:rPr>
        <w:t xml:space="preserve">On July 26, 2025, Greg Mowry sent an SMS message stating: “doing a fantastic job on the painting. It looks really good! Please tell him thank you. We didn’t want to get in his way.” This message was sent on the same day the Complainants later claimed misconduct was occurring. The contemporaneous written praise from the Complainant’s own spouse directly contradicts the misconduct narrative.</w:t>
      </w:r>
    </w:p>
    <w:p>
      <w:pPr>
        <w:pStyle w:val="ListParagraph"/>
        <w:numPr>
          <w:ilvl w:val="0"/>
          <w:numId w:val="2"/>
        </w:numPr>
        <w:spacing w:after="80"/>
      </w:pPr>
      <w:r>
        <w:rPr>
          <w:rFonts w:ascii="Arial" w:cs="Arial" w:eastAsia="Arial" w:hAnsi="Arial"/>
          <w:sz w:val="22"/>
          <w:szCs w:val="22"/>
        </w:rPr>
        <w:t xml:space="preserve">The painting dispute was contractually resolved in its entirety by the execution of Change Order #002 on October 1, 2025 (DocuSign Envelope ID: FC837BC8-87A5-44AC-8505-989A38CBF4BE), signed by both Stephanie Mowry and Greg Mowry. That Change Order explicitly states: “Contractor agrees to comp the electrical work for the jetted tub and addition as consideration for stress and inconvenience related to the unfinished interior paint job.” The Complainants accepted a $7,000 electrical compensation package in full settlement of the painting matter.</w:t>
      </w:r>
    </w:p>
    <w:p>
      <w:pPr>
        <w:pStyle w:val="ListParagraph"/>
        <w:numPr>
          <w:ilvl w:val="0"/>
          <w:numId w:val="2"/>
        </w:numPr>
        <w:spacing w:after="200"/>
      </w:pPr>
      <w:r>
        <w:rPr>
          <w:rFonts w:ascii="Arial" w:cs="Arial" w:eastAsia="Arial" w:hAnsi="Arial"/>
          <w:sz w:val="22"/>
          <w:szCs w:val="22"/>
        </w:rPr>
        <w:t xml:space="preserve">The Stipulation’s allegation that the Complainant “assumed Respondent had abandoned the project” on August 14, 2025 is factually incorrect. Work could not proceed because the City of Nampa had not yet approved the building permit. The permit was in active back-and-forth correction review. SMS records confirm continuous communication throughout this period. A contractor cannot build without an approved permit. Waiting on a government permit is not abandonment.</w:t>
      </w:r>
    </w:p>
    <w:p>
      <w:pPr>
        <w:spacing w:after="80"/>
      </w:pPr>
      <w:r>
        <w:rPr>
          <w:rFonts w:ascii="Arial" w:cs="Arial" w:eastAsia="Arial" w:hAnsi="Arial"/>
          <w:b/>
          <w:bCs/>
          <w:sz w:val="22"/>
          <w:szCs w:val="22"/>
        </w:rPr>
        <w:t xml:space="preserve">Paragraphs 13–15: Concrete Work and Subcontractor Payments</w:t>
      </w:r>
    </w:p>
    <w:p>
      <w:pPr>
        <w:spacing w:after="120"/>
      </w:pPr>
      <w:r>
        <w:rPr>
          <w:rFonts w:ascii="Arial" w:cs="Arial" w:eastAsia="Arial" w:hAnsi="Arial"/>
          <w:sz w:val="22"/>
          <w:szCs w:val="22"/>
        </w:rPr>
        <w:t xml:space="preserve">The allegation that I “failed to pay” subcontractors P.C. and C.C. requires critical context the Stipulation entirely omits:</w:t>
      </w:r>
    </w:p>
    <w:p>
      <w:pPr>
        <w:pStyle w:val="ListParagraph"/>
        <w:numPr>
          <w:ilvl w:val="0"/>
          <w:numId w:val="2"/>
        </w:numPr>
        <w:spacing w:after="80"/>
      </w:pPr>
      <w:r>
        <w:rPr>
          <w:rFonts w:ascii="Arial" w:cs="Arial" w:eastAsia="Arial" w:hAnsi="Arial"/>
          <w:sz w:val="22"/>
          <w:szCs w:val="22"/>
        </w:rPr>
        <w:t xml:space="preserve">The Complainants paid a total of $39,650.00 against a $61,800.00 contract. The unpaid milestone balance left me without sufficient funds to pay all subcontractors in full. A general contractor cannot pay subcontractors money he has not received. The root cause of any subcontractor payment delay was the Complainants’ own nonpayment, not dishonest dealing.</w:t>
      </w:r>
    </w:p>
    <w:p>
      <w:pPr>
        <w:pStyle w:val="ListParagraph"/>
        <w:numPr>
          <w:ilvl w:val="0"/>
          <w:numId w:val="2"/>
        </w:numPr>
        <w:spacing w:after="80"/>
      </w:pPr>
      <w:r>
        <w:rPr>
          <w:rFonts w:ascii="Arial" w:cs="Arial" w:eastAsia="Arial" w:hAnsi="Arial"/>
          <w:sz w:val="22"/>
          <w:szCs w:val="22"/>
        </w:rPr>
        <w:t xml:space="preserve">Regarding the painter C.C. (Luis): On October 16, 2025, I sent a written email to both the Complainant and Luis directly, CC’ing all parties, transparently disclosing that I had not been paid for the paint job and directing them to work out payment directly. I did not conceal this situation or deceive anyone. The email is documented and time-stamped.</w:t>
      </w:r>
    </w:p>
    <w:p>
      <w:pPr>
        <w:pStyle w:val="ListParagraph"/>
        <w:numPr>
          <w:ilvl w:val="0"/>
          <w:numId w:val="2"/>
        </w:numPr>
        <w:spacing w:after="200"/>
      </w:pPr>
      <w:r>
        <w:rPr>
          <w:rFonts w:ascii="Arial" w:cs="Arial" w:eastAsia="Arial" w:hAnsi="Arial"/>
          <w:sz w:val="22"/>
          <w:szCs w:val="22"/>
        </w:rPr>
        <w:t xml:space="preserve">On November 19, 2025, the Complainants themselves acknowledged in writing that they had paid $39,650.00 and stated this amount should be “ample funds to pay Cesar, Luis, Francisco and Ishmael.” This written acknowledgment from the Complainants proves they understood the payment structure and the amounts involved.</w:t>
      </w:r>
    </w:p>
    <w:p>
      <w:pPr>
        <w:spacing w:after="80"/>
      </w:pPr>
      <w:r>
        <w:rPr>
          <w:rFonts w:ascii="Arial" w:cs="Arial" w:eastAsia="Arial" w:hAnsi="Arial"/>
          <w:b/>
          <w:bCs/>
          <w:sz w:val="22"/>
          <w:szCs w:val="22"/>
        </w:rPr>
        <w:t xml:space="preserve">Paragraphs 18–19: Alleged Lack of Progress and Breach Notice</w:t>
      </w:r>
    </w:p>
    <w:p>
      <w:pPr>
        <w:spacing w:after="120"/>
      </w:pPr>
      <w:r>
        <w:rPr>
          <w:rFonts w:ascii="Arial" w:cs="Arial" w:eastAsia="Arial" w:hAnsi="Arial"/>
          <w:sz w:val="22"/>
          <w:szCs w:val="22"/>
        </w:rPr>
        <w:t xml:space="preserve">The Stipulation claims no work was completed from October 8–18, 2025, and alleges a “lack of progress.” The documentary record directly contradicts this:</w:t>
      </w:r>
    </w:p>
    <w:p>
      <w:pPr>
        <w:pStyle w:val="ListParagraph"/>
        <w:numPr>
          <w:ilvl w:val="0"/>
          <w:numId w:val="2"/>
        </w:numPr>
        <w:spacing w:after="80"/>
      </w:pPr>
      <w:r>
        <w:rPr>
          <w:rFonts w:ascii="Arial" w:cs="Arial" w:eastAsia="Arial" w:hAnsi="Arial"/>
          <w:sz w:val="22"/>
          <w:szCs w:val="22"/>
        </w:rPr>
        <w:t xml:space="preserve">City of Nampa Building Inspector Damon Hanson personally conducted and signed a Building Shear Wall Exterior Inspection on November 3, 2025, for Case No. RES-17321-2025. The inspection result was PASS. Inspector Hanson noted: “Exterior shear passed, OK to wrap and set windows.” A government building inspector certified the work as complete and compliant. This is irrefutable evidence that the project was actively progressing and the work was of acceptable quality.</w:t>
      </w:r>
    </w:p>
    <w:p>
      <w:pPr>
        <w:pStyle w:val="ListParagraph"/>
        <w:numPr>
          <w:ilvl w:val="0"/>
          <w:numId w:val="2"/>
        </w:numPr>
        <w:spacing w:after="80"/>
      </w:pPr>
      <w:r>
        <w:rPr>
          <w:rFonts w:ascii="Arial" w:cs="Arial" w:eastAsia="Arial" w:hAnsi="Arial"/>
          <w:sz w:val="22"/>
          <w:szCs w:val="22"/>
        </w:rPr>
        <w:t xml:space="preserve">From September 25 to November 3, 2025 — approximately five weeks — the following work was completed: full foundation demolition, concrete stem wall pour, complete structural framing, full roof system installation, exterior envelope and siding, and exterior shear inspection passed. This is substantial, verified progress on a residential addition.</w:t>
      </w:r>
    </w:p>
    <w:p>
      <w:pPr>
        <w:pStyle w:val="ListParagraph"/>
        <w:numPr>
          <w:ilvl w:val="0"/>
          <w:numId w:val="2"/>
        </w:numPr>
        <w:spacing w:after="200"/>
      </w:pPr>
      <w:r>
        <w:rPr>
          <w:rFonts w:ascii="Arial" w:cs="Arial" w:eastAsia="Arial" w:hAnsi="Arial"/>
          <w:sz w:val="22"/>
          <w:szCs w:val="22"/>
        </w:rPr>
        <w:t xml:space="preserve">On November 15, 2025, I notified the Complainants via email that I had been at the hospital for three days because my father suffered a cardiac arrest. This personal emergency and medical crisis directly explains any brief communication gap in mid-November. The Complainants were informed in writing.</w:t>
      </w:r>
    </w:p>
    <w:p>
      <w:pPr>
        <w:spacing w:after="80"/>
      </w:pPr>
      <w:r>
        <w:rPr>
          <w:rFonts w:ascii="Arial" w:cs="Arial" w:eastAsia="Arial" w:hAnsi="Arial"/>
          <w:b/>
          <w:bCs/>
          <w:sz w:val="22"/>
          <w:szCs w:val="22"/>
        </w:rPr>
        <w:t xml:space="preserve">Paragraph 20: Response to Breach Notice — “Numerous Threats”</w:t>
      </w:r>
    </w:p>
    <w:p>
      <w:pPr>
        <w:spacing w:after="120"/>
      </w:pPr>
      <w:r>
        <w:rPr>
          <w:rFonts w:ascii="Arial" w:cs="Arial" w:eastAsia="Arial" w:hAnsi="Arial"/>
          <w:sz w:val="22"/>
          <w:szCs w:val="22"/>
        </w:rPr>
        <w:t xml:space="preserve">The Stipulation characterizes my legal notices as “numerous threats.” I acknowledge that some of my written communications used strong language that, in hindsight, was more aggressive in tone than necessary. However:</w:t>
      </w:r>
    </w:p>
    <w:p>
      <w:pPr>
        <w:pStyle w:val="ListParagraph"/>
        <w:numPr>
          <w:ilvl w:val="0"/>
          <w:numId w:val="2"/>
        </w:numPr>
        <w:spacing w:after="80"/>
      </w:pPr>
      <w:r>
        <w:rPr>
          <w:rFonts w:ascii="Arial" w:cs="Arial" w:eastAsia="Arial" w:hAnsi="Arial"/>
          <w:sz w:val="22"/>
          <w:szCs w:val="22"/>
        </w:rPr>
        <w:t xml:space="preserve">Every legal action I described — filing a mechanics lien, stopping work, withdrawing a permit, seeking attorney fees — is explicitly authorized under Idaho law. Idaho Code §45-502 grants contractors the right to demand payment, stop work, and file liens. Exercising statutory rights is not dishonest dealing.</w:t>
      </w:r>
    </w:p>
    <w:p>
      <w:pPr>
        <w:pStyle w:val="ListParagraph"/>
        <w:numPr>
          <w:ilvl w:val="0"/>
          <w:numId w:val="2"/>
        </w:numPr>
        <w:spacing w:after="80"/>
      </w:pPr>
      <w:r>
        <w:rPr>
          <w:rFonts w:ascii="Arial" w:cs="Arial" w:eastAsia="Arial" w:hAnsi="Arial"/>
          <w:sz w:val="22"/>
          <w:szCs w:val="22"/>
        </w:rPr>
        <w:t xml:space="preserve">Throughout this period, I simultaneously offered to return and complete the work. I offered flexible payment arrangements. I offered to take a draw only after electrical rough-in was 100% complete. I stated repeatedly in writing: “I really want us to work together, not against each other. Let’s get this finished.” These are not the actions of someone engaged in dishonest dealing. They are the actions of a contractor trying to complete a project despite owner nonpayment.</w:t>
      </w:r>
    </w:p>
    <w:p>
      <w:pPr>
        <w:pStyle w:val="ListParagraph"/>
        <w:numPr>
          <w:ilvl w:val="0"/>
          <w:numId w:val="2"/>
        </w:numPr>
        <w:spacing w:after="200"/>
      </w:pPr>
      <w:r>
        <w:rPr>
          <w:rFonts w:ascii="Arial" w:cs="Arial" w:eastAsia="Arial" w:hAnsi="Arial"/>
          <w:sz w:val="22"/>
          <w:szCs w:val="22"/>
        </w:rPr>
        <w:t xml:space="preserve">While I was sending legal notices, the Complainants on November 21, 2025 sent me a written legal notice containing false statements that I am “a felon with an extensive criminal history in multiple states,” that I had “an active bench warrant,” and that I was engaged in “attempted extortion.” Every one of these statements is false. I hold Idaho General Contractor License #8061070 with zero disciplinary actions. The Idaho Division of Building Safety conducts background checks. I have no criminal history, no warrants, and no prior disciplinary record.</w:t>
      </w:r>
    </w:p>
    <w:p>
      <w:pPr>
        <w:spacing w:after="80"/>
      </w:pPr>
      <w:r>
        <w:rPr>
          <w:rFonts w:ascii="Arial" w:cs="Arial" w:eastAsia="Arial" w:hAnsi="Arial"/>
          <w:b/>
          <w:bCs/>
          <w:sz w:val="22"/>
          <w:szCs w:val="22"/>
        </w:rPr>
        <w:t xml:space="preserve">Paragraphs 23–24: Permit Withdrawal and Architectural Plans</w:t>
      </w:r>
    </w:p>
    <w:p>
      <w:pPr>
        <w:pStyle w:val="ListParagraph"/>
        <w:numPr>
          <w:ilvl w:val="0"/>
          <w:numId w:val="2"/>
        </w:numPr>
        <w:spacing w:after="80"/>
      </w:pPr>
      <w:r>
        <w:rPr>
          <w:rFonts w:ascii="Arial" w:cs="Arial" w:eastAsia="Arial" w:hAnsi="Arial"/>
          <w:sz w:val="22"/>
          <w:szCs w:val="22"/>
        </w:rPr>
        <w:t xml:space="preserve">The permit withdrawal is mischaracterized in the Stipulation. On November 24, 2025, the Complainants changed the locks on the property and physically denied site access to my superintendent Ishmael Perez — documented in real-time via SMS from Mr. Perez stating: “I went over yesterday and they locked all doors and changed the garage code so I had no access to the jobsite.” I cannot complete a permitted project when the property owner physically bars my entry. When I initially placed the permit on hold, I simultaneously texted the Complainant: “Right now it’s just a hold... Or you can call me tonight and we finish this job.” The door to completing the project remained open.</w:t>
      </w:r>
    </w:p>
    <w:p>
      <w:pPr>
        <w:pStyle w:val="ListParagraph"/>
        <w:numPr>
          <w:ilvl w:val="0"/>
          <w:numId w:val="2"/>
        </w:numPr>
        <w:spacing w:after="200"/>
      </w:pPr>
      <w:r>
        <w:rPr>
          <w:rFonts w:ascii="Arial" w:cs="Arial" w:eastAsia="Arial" w:hAnsi="Arial"/>
          <w:sz w:val="22"/>
          <w:szCs w:val="22"/>
        </w:rPr>
        <w:t xml:space="preserve">Regarding the architectural plans: The Stipulation states I contacted “the architectural company Complainant hired.” This is factually incorrect. The architectural plans were created by The Drafting Studio LLC under a contract between The Drafting Studio and Dakota Stewart as the named Client. The Complainant has no contract with The Drafting Studio and never paid The Drafting Studio directly. Per Section 3.2 of my agreement with The Drafting Studio, the license to use the plans is non-exclusive and non-transferable. I notified The Drafting Studio of this contractual provision. Protecting contractual intellectual property rights is not dishonest dealing.</w:t>
      </w:r>
    </w:p>
    <w:p>
      <w:pPr>
        <w:pStyle w:val="Heading1"/>
        <w:spacing w:before="280" w:after="120"/>
      </w:pPr>
      <w:r>
        <w:rPr>
          <w:rFonts w:ascii="Arial" w:cs="Arial" w:eastAsia="Arial" w:hAnsi="Arial"/>
          <w:b/>
          <w:bCs/>
          <w:sz w:val="24"/>
          <w:szCs w:val="24"/>
        </w:rPr>
        <w:t xml:space="preserve">III. OWNER CONDUCT THAT CREATED LIABILITY UNDER RESPONDENT’S LICENSE — OMITTED ENTIRELY FROM THE STIPULATION</w:t>
      </w:r>
    </w:p>
    <w:p>
      <w:pPr>
        <w:spacing w:after="200"/>
      </w:pPr>
      <w:r>
        <w:rPr>
          <w:rFonts w:ascii="Arial" w:cs="Arial" w:eastAsia="Arial" w:hAnsi="Arial"/>
          <w:sz w:val="22"/>
          <w:szCs w:val="22"/>
        </w:rPr>
        <w:t xml:space="preserve">The proposed Stipulation portrays this matter as a one-sided story of contractor misconduct. What it omits entirely is a documented, repeated pattern of owner interference that directly created liability exposure under my contractor license, violated Idaho construction law, and made it increasingly impossible to safely and legally complete the project. The Board should be aware of the following documented incidents, each of which is supported by written evidence.</w:t>
      </w:r>
    </w:p>
    <w:p>
      <w:pPr>
        <w:spacing w:after="80"/>
      </w:pPr>
      <w:r>
        <w:rPr>
          <w:rFonts w:ascii="Arial" w:cs="Arial" w:eastAsia="Arial" w:hAnsi="Arial"/>
          <w:b/>
          <w:bCs/>
          <w:sz w:val="22"/>
          <w:szCs w:val="22"/>
        </w:rPr>
        <w:t xml:space="preserve">Owner Misconduct Incident 1: Plumber Performed Work on Active Job Site Without Pulling a Sub-Permit Under GC of Record — Confirmed by City-Imposed Double Permit Fee</w:t>
      </w:r>
    </w:p>
    <w:p>
      <w:pPr>
        <w:spacing w:after="120"/>
      </w:pPr>
      <w:r>
        <w:rPr>
          <w:rFonts w:ascii="Arial" w:cs="Arial" w:eastAsia="Arial" w:hAnsi="Arial"/>
          <w:sz w:val="22"/>
          <w:szCs w:val="22"/>
        </w:rPr>
        <w:t xml:space="preserve">The Complainants hired a plumber to perform plumbing rough-in work at the property during the active project. This plumber performed work on the job site without pulling a sub-permit under me as the General Contractor of record, as is required by Idaho construction law and the terms of the active building permit. My superintendent Ishmael Perez was an eyewitness to this plumber performing work on the job site.</w:t>
      </w:r>
    </w:p>
    <w:p>
      <w:pPr>
        <w:pStyle w:val="ListParagraph"/>
        <w:numPr>
          <w:ilvl w:val="0"/>
          <w:numId w:val="2"/>
        </w:numPr>
        <w:spacing w:after="80"/>
      </w:pPr>
      <w:r>
        <w:rPr>
          <w:rFonts w:ascii="Arial" w:cs="Arial" w:eastAsia="Arial" w:hAnsi="Arial"/>
          <w:sz w:val="22"/>
          <w:szCs w:val="22"/>
        </w:rPr>
        <w:t xml:space="preserve">The proof that the plumber failed to pull a proper sub-permit under me is confirmed by the City of Nampa itself. When the Complainants subsequently applied for a new building permit, the city imposed a double permit fee specifically because the plumbing work had been performed without a proper permit pulled under the GC of record. A double fee is the city’s standard penalty for unpermitted work. The city’s own enforcement action is the most authoritative confirmation possible that proper sub-permitting procedures were not followed. This is documented in the city permit portal screenshot in evidence.</w:t>
      </w:r>
    </w:p>
    <w:p>
      <w:pPr>
        <w:pStyle w:val="ListParagraph"/>
        <w:numPr>
          <w:ilvl w:val="0"/>
          <w:numId w:val="2"/>
        </w:numPr>
        <w:spacing w:after="80"/>
      </w:pPr>
      <w:r>
        <w:rPr>
          <w:rFonts w:ascii="Arial" w:cs="Arial" w:eastAsia="Arial" w:hAnsi="Arial"/>
          <w:sz w:val="22"/>
          <w:szCs w:val="22"/>
        </w:rPr>
        <w:t xml:space="preserve">I was the General Contractor of record on Building Permit No. RES-17321-2025. I was not contracted to perform plumbing work. Per the contract, the Complainants were solely responsible for arranging their own licensed plumber and ensuring that plumber coordinated through me and pulled the required sub-permit under my GC license. They failed to do this.</w:t>
      </w:r>
    </w:p>
    <w:p>
      <w:pPr>
        <w:pStyle w:val="ListParagraph"/>
        <w:numPr>
          <w:ilvl w:val="0"/>
          <w:numId w:val="2"/>
        </w:numPr>
        <w:spacing w:after="80"/>
      </w:pPr>
      <w:r>
        <w:rPr>
          <w:rFonts w:ascii="Arial" w:cs="Arial" w:eastAsia="Arial" w:hAnsi="Arial"/>
          <w:sz w:val="22"/>
          <w:szCs w:val="22"/>
        </w:rPr>
        <w:t xml:space="preserve">When a sub-trade performs work under an active general contractor permit without pulling a proper sub-permit under the GC, any resulting code enforcement action falls on the GC of record unless properly documented and reported. As soon as I became aware of the unpermitted plumbing, I formally reported it to the City of Nampa Building Department on November 24, 2025, requested to be removed from liability as the former GC of record, and asked the city to investigate. The city’s own permit portal comment confirmed: “There is also unpermitted plumbing rough-in work, and he is a witness to that. A double-fee plumbing permit is required.” This is documented in the email titled “RES-17321-2025 Withdraw Request.”</w:t>
      </w:r>
    </w:p>
    <w:p>
      <w:pPr>
        <w:pStyle w:val="ListParagraph"/>
        <w:numPr>
          <w:ilvl w:val="0"/>
          <w:numId w:val="2"/>
        </w:numPr>
        <w:spacing w:after="200"/>
      </w:pPr>
      <w:r>
        <w:rPr>
          <w:rFonts w:ascii="Arial" w:cs="Arial" w:eastAsia="Arial" w:hAnsi="Arial"/>
          <w:sz w:val="22"/>
          <w:szCs w:val="22"/>
        </w:rPr>
        <w:t xml:space="preserve">This incident demonstrates the Complainants’ pattern of conduct throughout this project: disregarding proper procedures, bypassing the GC of record, and then facing consequences of their own making — in this case, a city-imposed double permit fee that they themselves had to pay. This is not in the Stipulation. The Board should know about it.</w:t>
      </w:r>
    </w:p>
    <w:p>
      <w:pPr>
        <w:spacing w:after="80"/>
      </w:pPr>
      <w:r>
        <w:rPr>
          <w:rFonts w:ascii="Arial" w:cs="Arial" w:eastAsia="Arial" w:hAnsi="Arial"/>
          <w:b/>
          <w:bCs/>
          <w:sz w:val="22"/>
          <w:szCs w:val="22"/>
        </w:rPr>
        <w:t xml:space="preserve">Owner Misconduct Incident 2: Unauthorized Work Performed on City-Approved Architectural Plans — Bobby Wall (RCE-53681) Brought Onto Active Permitted Job Site Without GC Authorization or Permit Amendment</w:t>
      </w:r>
    </w:p>
    <w:p>
      <w:pPr>
        <w:spacing w:after="120"/>
      </w:pPr>
      <w:r>
        <w:rPr>
          <w:rFonts w:ascii="Arial" w:cs="Arial" w:eastAsia="Arial" w:hAnsi="Arial"/>
          <w:sz w:val="22"/>
          <w:szCs w:val="22"/>
        </w:rPr>
        <w:t xml:space="preserve">On November 1, 2025, the Complainants hired a contractor, Bobby Wall (Idaho Registration No. RCE-53681), to perform roof vent penetrations on the active permitted project without my knowledge, written authorization, or coordination through me as the GC of record. The issue here is not Mr. Wall’s licensure status. The issue is that the Complainants unilaterally decided to change the locations of items shown on the city-approved architectural plans — without obtaining my authorization, without a permit amendment, and without city approval — and had another contractor perform that work on my active permitted job site. This is proven by the following documentary evidence:</w:t>
      </w:r>
    </w:p>
    <w:p>
      <w:pPr>
        <w:pStyle w:val="ListParagraph"/>
        <w:numPr>
          <w:ilvl w:val="0"/>
          <w:numId w:val="2"/>
        </w:numPr>
        <w:spacing w:after="80"/>
      </w:pPr>
      <w:r>
        <w:rPr>
          <w:rFonts w:ascii="Arial" w:cs="Arial" w:eastAsia="Arial" w:hAnsi="Arial"/>
          <w:sz w:val="22"/>
          <w:szCs w:val="22"/>
        </w:rPr>
        <w:t xml:space="preserve">The Complainants’ own Venmo payment record, sent to me by Stephanie Mowry via SMS on November 1, 2025 at 10:04 PM, shows a payment to “@Wall2wallhomes” for “Roof vent install” on November 1, 2025 at 3:06 PM — while my roofing subcontractor Francisco was actively on site installing the roof at the same time.</w:t>
      </w:r>
    </w:p>
    <w:p>
      <w:pPr>
        <w:pStyle w:val="ListParagraph"/>
        <w:numPr>
          <w:ilvl w:val="0"/>
          <w:numId w:val="2"/>
        </w:numPr>
        <w:spacing w:after="80"/>
      </w:pPr>
      <w:r>
        <w:rPr>
          <w:rFonts w:ascii="Arial" w:cs="Arial" w:eastAsia="Arial" w:hAnsi="Arial"/>
          <w:sz w:val="22"/>
          <w:szCs w:val="22"/>
        </w:rPr>
        <w:t xml:space="preserve">Stephanie Mowry confirmed in writing via SMS on November 1, 2025: “We had our friend and licensed GC Bobby Wall do it for us. RCE-53681. He discussed the install with one of Francisco’s guys who was installing the roof at the same time today between 2-3 PM.”</w:t>
      </w:r>
    </w:p>
    <w:p>
      <w:pPr>
        <w:pStyle w:val="ListParagraph"/>
        <w:numPr>
          <w:ilvl w:val="0"/>
          <w:numId w:val="2"/>
        </w:numPr>
        <w:spacing w:after="80"/>
      </w:pPr>
      <w:r>
        <w:rPr>
          <w:rFonts w:ascii="Arial" w:cs="Arial" w:eastAsia="Arial" w:hAnsi="Arial"/>
          <w:sz w:val="22"/>
          <w:szCs w:val="22"/>
        </w:rPr>
        <w:t xml:space="preserve">The Complainants confirmed in writing that they moved the solo tube and exhaust vent locations from the positions shown on the city-approved architectural plans, stating there was a double roof obstruction at the original plan locations. Any field modification to city-approved permitted architectural plans requires GC authorization, engineering review where applicable, and a permit amendment approved by the city. None of those steps were taken. The Complainants simply had another contractor make changes to approved plans without going through me or the city as required. This created potential inspection and code compliance exposure under my active permit.</w:t>
      </w:r>
    </w:p>
    <w:p>
      <w:pPr>
        <w:pStyle w:val="ListParagraph"/>
        <w:numPr>
          <w:ilvl w:val="0"/>
          <w:numId w:val="2"/>
        </w:numPr>
        <w:spacing w:after="80"/>
      </w:pPr>
      <w:r>
        <w:rPr>
          <w:rFonts w:ascii="Arial" w:cs="Arial" w:eastAsia="Arial" w:hAnsi="Arial"/>
          <w:sz w:val="22"/>
          <w:szCs w:val="22"/>
        </w:rPr>
        <w:t xml:space="preserve">Under Idaho Code §54-5201 and §54-5202, all work performed under an active building permit must be coordinated through and authorized by the general contractor of record. Bobby Wall was not contracted under my license or insurance, and his presence on the job site performing work under my active permit without my written authorization violated the building permit terms and the signed contract.</w:t>
      </w:r>
    </w:p>
    <w:p>
      <w:pPr>
        <w:pStyle w:val="ListParagraph"/>
        <w:numPr>
          <w:ilvl w:val="0"/>
          <w:numId w:val="2"/>
        </w:numPr>
        <w:spacing w:after="80"/>
      </w:pPr>
      <w:r>
        <w:rPr>
          <w:rFonts w:ascii="Arial" w:cs="Arial" w:eastAsia="Arial" w:hAnsi="Arial"/>
          <w:sz w:val="22"/>
          <w:szCs w:val="22"/>
        </w:rPr>
        <w:t xml:space="preserve">I documented this incident formally in a written email dated November 2, 2025, sent to the Complainants and copied to legal counsel at Taylor Law Offices. I issued the First Formal Notice of Owner Interference on October 31, 2025 and the Second Formal Notice of Owner Interference on November 1, 2025 — both documented in my project files.</w:t>
      </w:r>
    </w:p>
    <w:p>
      <w:pPr>
        <w:pStyle w:val="ListParagraph"/>
        <w:numPr>
          <w:ilvl w:val="0"/>
          <w:numId w:val="2"/>
        </w:numPr>
        <w:spacing w:after="200"/>
      </w:pPr>
      <w:r>
        <w:rPr>
          <w:rFonts w:ascii="Arial" w:cs="Arial" w:eastAsia="Arial" w:hAnsi="Arial"/>
          <w:sz w:val="22"/>
          <w:szCs w:val="22"/>
        </w:rPr>
        <w:t xml:space="preserve">Despite sending two formal written notices, the Complainants dismissed them. Stephanie Mowry responded on November 1, 2025: “Wow dude, you need to simmer down and retract all of the violation and code BS.” This response is itself evidence of the Complainants’ consistent pattern of disregarding the GC’s legal authority and contractual rights throughout this project.</w:t>
      </w:r>
    </w:p>
    <w:p>
      <w:pPr>
        <w:spacing w:after="80"/>
      </w:pPr>
      <w:r>
        <w:rPr>
          <w:rFonts w:ascii="Arial" w:cs="Arial" w:eastAsia="Arial" w:hAnsi="Arial"/>
          <w:b/>
          <w:bCs/>
          <w:sz w:val="22"/>
          <w:szCs w:val="22"/>
        </w:rPr>
        <w:t xml:space="preserve">Owner Misconduct Incident 3: Unauthorized Inspection Scheduling — Directly Confirmed by Superintendent Ishmael Perez</w:t>
      </w:r>
    </w:p>
    <w:p>
      <w:pPr>
        <w:spacing w:after="120"/>
      </w:pPr>
      <w:r>
        <w:rPr>
          <w:rFonts w:ascii="Arial" w:cs="Arial" w:eastAsia="Arial" w:hAnsi="Arial"/>
          <w:sz w:val="22"/>
          <w:szCs w:val="22"/>
        </w:rPr>
        <w:t xml:space="preserve">The Complainants unilaterally contacted the City of Nampa Building Department and scheduled city inspections without going through me as the licensed GC of record. Under the building permit and Idaho law, inspection scheduling is the responsibility and authority of the licensed contractor of record.</w:t>
      </w:r>
    </w:p>
    <w:p>
      <w:pPr>
        <w:pStyle w:val="ListParagraph"/>
        <w:numPr>
          <w:ilvl w:val="0"/>
          <w:numId w:val="2"/>
        </w:numPr>
        <w:spacing w:after="80"/>
      </w:pPr>
      <w:r>
        <w:rPr>
          <w:rFonts w:ascii="Arial" w:cs="Arial" w:eastAsia="Arial" w:hAnsi="Arial"/>
          <w:sz w:val="22"/>
          <w:szCs w:val="22"/>
        </w:rPr>
        <w:t xml:space="preserve">On October 30, 2025, Superintendent Ishmael Perez sent me an iMessage stating: “I haven’t scheduled it yet — seems like homeowners overstepped and scheduled without me. I’m checking with the city now.” This is a direct, contemporaneous, third-party confirmation that the Complainants bypassed the GC of record to schedule city inspections.</w:t>
      </w:r>
    </w:p>
    <w:p>
      <w:pPr>
        <w:pStyle w:val="ListParagraph"/>
        <w:numPr>
          <w:ilvl w:val="0"/>
          <w:numId w:val="2"/>
        </w:numPr>
        <w:spacing w:after="80"/>
      </w:pPr>
      <w:r>
        <w:rPr>
          <w:rFonts w:ascii="Arial" w:cs="Arial" w:eastAsia="Arial" w:hAnsi="Arial"/>
          <w:sz w:val="22"/>
          <w:szCs w:val="22"/>
        </w:rPr>
        <w:t xml:space="preserve">Stephanie Mowry acknowledged this in writing on October 31, 2025, stating: “Ishmael also has been trying to get ahold of you for days without an answer, therefore the city allowed us as the homeowners to request the inspections since you’re not available.” The Complainants justified this bypass of the GC’s authority based on a claimed lack of availability — which is not a legal basis for homeowners to take over inspection scheduling on a permitted project.</w:t>
      </w:r>
    </w:p>
    <w:p>
      <w:pPr>
        <w:pStyle w:val="ListParagraph"/>
        <w:numPr>
          <w:ilvl w:val="0"/>
          <w:numId w:val="2"/>
        </w:numPr>
        <w:spacing w:after="200"/>
      </w:pPr>
      <w:r>
        <w:rPr>
          <w:rFonts w:ascii="Arial" w:cs="Arial" w:eastAsia="Arial" w:hAnsi="Arial"/>
          <w:sz w:val="22"/>
          <w:szCs w:val="22"/>
        </w:rPr>
        <w:t xml:space="preserve">I issued the First Formal Notice of Owner Interference on October 31, 2025 specifically addressing this unauthorized inspection scheduling. The Complainants’ response was to dismiss the notice as “bogus.” The pattern of disregarding the contractor’s authority is consistent and documented throughout the project.</w:t>
      </w:r>
    </w:p>
    <w:p>
      <w:pPr>
        <w:spacing w:after="80"/>
      </w:pPr>
      <w:r>
        <w:rPr>
          <w:rFonts w:ascii="Arial" w:cs="Arial" w:eastAsia="Arial" w:hAnsi="Arial"/>
          <w:b/>
          <w:bCs/>
          <w:sz w:val="22"/>
          <w:szCs w:val="22"/>
        </w:rPr>
        <w:t xml:space="preserve">Owner Misconduct Incident 4: Direct Coordination with Subcontractors in Violation of the Signed Contract</w:t>
      </w:r>
    </w:p>
    <w:p>
      <w:pPr>
        <w:spacing w:after="120"/>
      </w:pPr>
      <w:r>
        <w:rPr>
          <w:rFonts w:ascii="Arial" w:cs="Arial" w:eastAsia="Arial" w:hAnsi="Arial"/>
          <w:sz w:val="22"/>
          <w:szCs w:val="22"/>
        </w:rPr>
        <w:t xml:space="preserve">The signed Independent Contractor Agreement explicitly states: “The Recipient has no right or power to control or otherwise interfere with the Contractor’s mode of effecting performance under this Agreement.” Despite this clear contractual prohibition, the Complainants repeatedly contacted subcontractors directly throughout the project.</w:t>
      </w:r>
    </w:p>
    <w:p>
      <w:pPr>
        <w:pStyle w:val="ListParagraph"/>
        <w:numPr>
          <w:ilvl w:val="0"/>
          <w:numId w:val="2"/>
        </w:numPr>
        <w:spacing w:after="80"/>
      </w:pPr>
      <w:r>
        <w:rPr>
          <w:rFonts w:ascii="Arial" w:cs="Arial" w:eastAsia="Arial" w:hAnsi="Arial"/>
          <w:sz w:val="22"/>
          <w:szCs w:val="22"/>
        </w:rPr>
        <w:t xml:space="preserve">On October 8, 2025, Stephanie Mowry directly emailed truss supplier representatives at Builders FirstSource (jonathan.lemus@bldr.com and clay.peugh@bldr.com) regarding roof truss specifications and ordering timelines, copying me as an afterthought. Ordering structural components directly from suppliers without GC authorization creates specification errors and liability issues that fall on the GC of record.</w:t>
      </w:r>
    </w:p>
    <w:p>
      <w:pPr>
        <w:pStyle w:val="ListParagraph"/>
        <w:numPr>
          <w:ilvl w:val="0"/>
          <w:numId w:val="2"/>
        </w:numPr>
        <w:spacing w:after="80"/>
      </w:pPr>
      <w:r>
        <w:rPr>
          <w:rFonts w:ascii="Arial" w:cs="Arial" w:eastAsia="Arial" w:hAnsi="Arial"/>
          <w:sz w:val="22"/>
          <w:szCs w:val="22"/>
        </w:rPr>
        <w:t xml:space="preserve">The Complainants repeatedly contacted concrete subcontractors Cesar and Jose directly regarding payment disputes, complained to me about their requests, and demanded I produce lien waivers from them — all while simultaneously withholding the milestone payment that would have allowed me to pay them.</w:t>
      </w:r>
    </w:p>
    <w:p>
      <w:pPr>
        <w:pStyle w:val="ListParagraph"/>
        <w:numPr>
          <w:ilvl w:val="0"/>
          <w:numId w:val="2"/>
        </w:numPr>
        <w:spacing w:after="200"/>
      </w:pPr>
      <w:r>
        <w:rPr>
          <w:rFonts w:ascii="Arial" w:cs="Arial" w:eastAsia="Arial" w:hAnsi="Arial"/>
          <w:sz w:val="22"/>
          <w:szCs w:val="22"/>
        </w:rPr>
        <w:t xml:space="preserve">The Second Formal Notice of Owner Interference dated November 1, 2025, which I sent in writing to the Complainants, formally documented this pattern of unauthorized direct subcontractor coordination and put them on notice that continued interference would result in work suspension and legal action under the contract. They ignored it.</w:t>
      </w:r>
    </w:p>
    <w:p>
      <w:pPr>
        <w:spacing w:after="80"/>
      </w:pPr>
      <w:r>
        <w:rPr>
          <w:rFonts w:ascii="Arial" w:cs="Arial" w:eastAsia="Arial" w:hAnsi="Arial"/>
          <w:b/>
          <w:bCs/>
          <w:sz w:val="22"/>
          <w:szCs w:val="22"/>
        </w:rPr>
        <w:t xml:space="preserve">Owner Misconduct Incident 5: Mowrys Filed New Permit Application Containing False Defamatory Statements About Respondent</w:t>
      </w:r>
    </w:p>
    <w:p>
      <w:pPr>
        <w:spacing w:after="120"/>
      </w:pPr>
      <w:r>
        <w:rPr>
          <w:rFonts w:ascii="Arial" w:cs="Arial" w:eastAsia="Arial" w:hAnsi="Arial"/>
          <w:sz w:val="22"/>
          <w:szCs w:val="22"/>
        </w:rPr>
        <w:t xml:space="preserve">Following the permit withdrawal, the Complainants filed a new permit application with the City of Nampa. DOPL Investigator Ken Mitchell forwarded a screenshot of this application to me in a message dated January 6, 2026. That screenshot shows the Complainants described the project in the official permit application as requiring them to “reapply for permits for our 180sf addition that’s half completed after we had to terminate our former GC for malicious and fraudulent business practices.”</w:t>
      </w:r>
    </w:p>
    <w:p>
      <w:pPr>
        <w:pStyle w:val="ListParagraph"/>
        <w:numPr>
          <w:ilvl w:val="0"/>
          <w:numId w:val="2"/>
        </w:numPr>
        <w:spacing w:after="80"/>
      </w:pPr>
      <w:r>
        <w:rPr>
          <w:rFonts w:ascii="Arial" w:cs="Arial" w:eastAsia="Arial" w:hAnsi="Arial"/>
          <w:sz w:val="22"/>
          <w:szCs w:val="22"/>
        </w:rPr>
        <w:t xml:space="preserve">The characterization of my conduct as “malicious and fraudulent” is false, defamatory, and was published in an official government permit application — creating a permanent public record of false statements about my professional conduct.</w:t>
      </w:r>
    </w:p>
    <w:p>
      <w:pPr>
        <w:pStyle w:val="ListParagraph"/>
        <w:numPr>
          <w:ilvl w:val="0"/>
          <w:numId w:val="2"/>
        </w:numPr>
        <w:spacing w:after="200"/>
      </w:pPr>
      <w:r>
        <w:rPr>
          <w:rFonts w:ascii="Arial" w:cs="Arial" w:eastAsia="Arial" w:hAnsi="Arial"/>
          <w:sz w:val="22"/>
          <w:szCs w:val="22"/>
        </w:rPr>
        <w:t xml:space="preserve">This same false narrative was provided to DOPL as the basis for the complaint that led to this Stipulation. The Complainants did not simply file a good-faith complaint — they filed a complaint containing demonstrably false characterizations of my conduct, supported it with a one-sided narrative, and simultaneously published those same false characterizations in a government permit record. The Board is being asked to discipline me based on a narrative that the Complainants themselves have shown a willingness to embellish and misrepresent in official government filings.</w:t>
      </w:r>
    </w:p>
    <w:p>
      <w:pPr>
        <w:spacing w:after="200"/>
      </w:pPr>
      <w:r>
        <w:rPr>
          <w:rFonts w:ascii="Arial" w:cs="Arial" w:eastAsia="Arial" w:hAnsi="Arial"/>
          <w:sz w:val="22"/>
          <w:szCs w:val="22"/>
        </w:rPr>
        <w:t xml:space="preserve">Taken together, these five documented incidents paint a picture that is the opposite of what the Stipulation presents. I was not a contractor engaged in dishonest dealings. I was a contractor trying to manage a project under conditions of persistent, documented owner interference — interference that repeatedly threatened my license, violated Idaho construction law, and made orderly project completion progressively more difficult. I documented every incident in writing, sent formal notices, reported violations to the city, and continued trying to complete the project until I was physically locked off the property. That is not dishonest dealing. That is professional conduct under adversarial conditions.</w:t>
      </w:r>
    </w:p>
    <w:p>
      <w:pPr>
        <w:pStyle w:val="Heading1"/>
        <w:spacing w:before="280" w:after="120"/>
      </w:pPr>
      <w:r>
        <w:rPr>
          <w:rFonts w:ascii="Arial" w:cs="Arial" w:eastAsia="Arial" w:hAnsi="Arial"/>
          <w:b/>
          <w:bCs/>
          <w:sz w:val="24"/>
          <w:szCs w:val="24"/>
        </w:rPr>
        <w:t xml:space="preserve">IV. SUMMARY OF KEY EVIDENCE FOR FORMAL HEARING</w:t>
      </w:r>
    </w:p>
    <w:p>
      <w:pPr>
        <w:spacing w:after="120"/>
      </w:pPr>
      <w:r>
        <w:rPr>
          <w:rFonts w:ascii="Arial" w:cs="Arial" w:eastAsia="Arial" w:hAnsi="Arial"/>
          <w:sz w:val="22"/>
          <w:szCs w:val="22"/>
        </w:rPr>
        <w:t xml:space="preserve">The following documentary evidence, all of which exists and is available for immediate production, directly contradicts the factual findings in the proposed Stipulation:</w:t>
      </w:r>
    </w:p>
    <w:p>
      <w:pPr>
        <w:pStyle w:val="ListParagraph"/>
        <w:numPr>
          <w:ilvl w:val="0"/>
          <w:numId w:val="3"/>
        </w:numPr>
        <w:spacing w:after="80"/>
      </w:pPr>
      <w:r>
        <w:rPr>
          <w:rFonts w:ascii="Arial" w:cs="Arial" w:eastAsia="Arial" w:hAnsi="Arial"/>
          <w:sz w:val="22"/>
          <w:szCs w:val="22"/>
        </w:rPr>
        <w:t xml:space="preserve">Independent Contractor Agreement dated June 12, 2025 — signed by Stephanie Mowry via DocuSign (Envelope ID: 7EFAE08238BB415)</w:t>
      </w:r>
    </w:p>
    <w:p>
      <w:pPr>
        <w:pStyle w:val="ListParagraph"/>
        <w:numPr>
          <w:ilvl w:val="0"/>
          <w:numId w:val="3"/>
        </w:numPr>
        <w:spacing w:after="80"/>
      </w:pPr>
      <w:r>
        <w:rPr>
          <w:rFonts w:ascii="Arial" w:cs="Arial" w:eastAsia="Arial" w:hAnsi="Arial"/>
          <w:sz w:val="22"/>
          <w:szCs w:val="22"/>
        </w:rPr>
        <w:t xml:space="preserve">Change Order #001 — signed by Stephanie Mowry via DocuSign, August 5, 2025</w:t>
      </w:r>
    </w:p>
    <w:p>
      <w:pPr>
        <w:pStyle w:val="ListParagraph"/>
        <w:numPr>
          <w:ilvl w:val="0"/>
          <w:numId w:val="3"/>
        </w:numPr>
        <w:spacing w:after="80"/>
      </w:pPr>
      <w:r>
        <w:rPr>
          <w:rFonts w:ascii="Arial" w:cs="Arial" w:eastAsia="Arial" w:hAnsi="Arial"/>
          <w:sz w:val="22"/>
          <w:szCs w:val="22"/>
        </w:rPr>
        <w:t xml:space="preserve">Change Order #002 — signed by both Stephanie Mowry and Greg Mowry via DocuSign (Envelope ID: FC837BC8-87A5-44AC-8505-989A38CBF4BE), October 1, 2025, including the electrical compensation provision resolving the painting dispute</w:t>
      </w:r>
    </w:p>
    <w:p>
      <w:pPr>
        <w:pStyle w:val="ListParagraph"/>
        <w:numPr>
          <w:ilvl w:val="0"/>
          <w:numId w:val="3"/>
        </w:numPr>
        <w:spacing w:after="80"/>
      </w:pPr>
      <w:r>
        <w:rPr>
          <w:rFonts w:ascii="Arial" w:cs="Arial" w:eastAsia="Arial" w:hAnsi="Arial"/>
          <w:sz w:val="22"/>
          <w:szCs w:val="22"/>
        </w:rPr>
        <w:t xml:space="preserve">City of Nampa Signed Inspection Report — Inspector Damon Hanson, November 3, 2025 — Building Shear Wall Exterior Inspection STATUS: PASS — Case No. RES-17321-2025</w:t>
      </w:r>
    </w:p>
    <w:p>
      <w:pPr>
        <w:pStyle w:val="ListParagraph"/>
        <w:numPr>
          <w:ilvl w:val="0"/>
          <w:numId w:val="3"/>
        </w:numPr>
        <w:spacing w:after="80"/>
      </w:pPr>
      <w:r>
        <w:rPr>
          <w:rFonts w:ascii="Arial" w:cs="Arial" w:eastAsia="Arial" w:hAnsi="Arial"/>
          <w:sz w:val="22"/>
          <w:szCs w:val="22"/>
        </w:rPr>
        <w:t xml:space="preserve">SMS message from Greg Mowry dated July 26, 2025 praising the painting work: “doing a fantastic job on the painting. It looks really good! Please tell him thank you.”</w:t>
      </w:r>
    </w:p>
    <w:p>
      <w:pPr>
        <w:pStyle w:val="ListParagraph"/>
        <w:numPr>
          <w:ilvl w:val="0"/>
          <w:numId w:val="3"/>
        </w:numPr>
        <w:spacing w:after="80"/>
      </w:pPr>
      <w:r>
        <w:rPr>
          <w:rFonts w:ascii="Arial" w:cs="Arial" w:eastAsia="Arial" w:hAnsi="Arial"/>
          <w:sz w:val="22"/>
          <w:szCs w:val="22"/>
        </w:rPr>
        <w:t xml:space="preserve">Email from Dakota Stewart dated October 16, 2025, transparently disclosing to Complainant and subcontractor Luis simultaneously that payment had not been received for the paint job and directing them to resolve it directly — demonstrating transparency, not concealment</w:t>
      </w:r>
    </w:p>
    <w:p>
      <w:pPr>
        <w:pStyle w:val="ListParagraph"/>
        <w:numPr>
          <w:ilvl w:val="0"/>
          <w:numId w:val="3"/>
        </w:numPr>
        <w:spacing w:after="80"/>
      </w:pPr>
      <w:r>
        <w:rPr>
          <w:rFonts w:ascii="Arial" w:cs="Arial" w:eastAsia="Arial" w:hAnsi="Arial"/>
          <w:sz w:val="22"/>
          <w:szCs w:val="22"/>
        </w:rPr>
        <w:t xml:space="preserve">SMS from Superintendent Ishmael Perez dated November 24, 2025 documenting the Complainants’ lockout: “I went over yesterday and they locked all doors and changed the garage code so I had no access to the jobsite”</w:t>
      </w:r>
    </w:p>
    <w:p>
      <w:pPr>
        <w:pStyle w:val="ListParagraph"/>
        <w:numPr>
          <w:ilvl w:val="0"/>
          <w:numId w:val="3"/>
        </w:numPr>
        <w:spacing w:after="80"/>
      </w:pPr>
      <w:r>
        <w:rPr>
          <w:rFonts w:ascii="Arial" w:cs="Arial" w:eastAsia="Arial" w:hAnsi="Arial"/>
          <w:sz w:val="22"/>
          <w:szCs w:val="22"/>
        </w:rPr>
        <w:t xml:space="preserve">SMS from Dakota Stewart to Complainant on November 24, 2025: “Right now it’s just a hold… Or you can call me tonight and we finish this job” — demonstrating ongoing willingness to complete the project</w:t>
      </w:r>
    </w:p>
    <w:p>
      <w:pPr>
        <w:pStyle w:val="ListParagraph"/>
        <w:numPr>
          <w:ilvl w:val="0"/>
          <w:numId w:val="3"/>
        </w:numPr>
        <w:spacing w:after="80"/>
      </w:pPr>
      <w:r>
        <w:rPr>
          <w:rFonts w:ascii="Arial" w:cs="Arial" w:eastAsia="Arial" w:hAnsi="Arial"/>
          <w:sz w:val="22"/>
          <w:szCs w:val="22"/>
        </w:rPr>
        <w:t xml:space="preserve">Email from Dakota Stewart dated November 15, 2025 to Complainants notifying them of a family medical emergency (father’s cardiac arrest) explaining any brief communication gap in mid-November</w:t>
      </w:r>
    </w:p>
    <w:p>
      <w:pPr>
        <w:pStyle w:val="ListParagraph"/>
        <w:numPr>
          <w:ilvl w:val="0"/>
          <w:numId w:val="3"/>
        </w:numPr>
        <w:spacing w:after="80"/>
      </w:pPr>
      <w:r>
        <w:rPr>
          <w:rFonts w:ascii="Arial" w:cs="Arial" w:eastAsia="Arial" w:hAnsi="Arial"/>
          <w:sz w:val="22"/>
          <w:szCs w:val="22"/>
        </w:rPr>
        <w:t xml:space="preserve">The Drafting Studio LLC contract dated June 18, 2025, establishing Dakota Stewart as the named Client and confirming the non-transferable license per Section 3.2</w:t>
      </w:r>
    </w:p>
    <w:p>
      <w:pPr>
        <w:pStyle w:val="ListParagraph"/>
        <w:numPr>
          <w:ilvl w:val="0"/>
          <w:numId w:val="3"/>
        </w:numPr>
        <w:spacing w:after="80"/>
      </w:pPr>
      <w:r>
        <w:rPr>
          <w:rFonts w:ascii="Arial" w:cs="Arial" w:eastAsia="Arial" w:hAnsi="Arial"/>
          <w:sz w:val="22"/>
          <w:szCs w:val="22"/>
        </w:rPr>
        <w:t xml:space="preserve">SMS records showing continuous communication and project updates throughout June through November 2025 — totaling hundreds of messages — establishing an unbroken record of contractor engagement, not abandonment</w:t>
      </w:r>
    </w:p>
    <w:p>
      <w:pPr>
        <w:pStyle w:val="ListParagraph"/>
        <w:numPr>
          <w:ilvl w:val="0"/>
          <w:numId w:val="3"/>
        </w:numPr>
        <w:spacing w:after="200"/>
      </w:pPr>
      <w:r>
        <w:rPr>
          <w:rFonts w:ascii="Arial" w:cs="Arial" w:eastAsia="Arial" w:hAnsi="Arial"/>
          <w:sz w:val="22"/>
          <w:szCs w:val="22"/>
        </w:rPr>
        <w:t xml:space="preserve">Idaho Contractor License #8061070 — active status, zero disciplinary actions, confirming no prior history of dishonest dealings</w:t>
      </w:r>
    </w:p>
    <w:p>
      <w:pPr>
        <w:pStyle w:val="Heading1"/>
        <w:spacing w:before="280" w:after="120"/>
      </w:pPr>
      <w:r>
        <w:rPr>
          <w:rFonts w:ascii="Arial" w:cs="Arial" w:eastAsia="Arial" w:hAnsi="Arial"/>
          <w:b/>
          <w:bCs/>
          <w:sz w:val="24"/>
          <w:szCs w:val="24"/>
        </w:rPr>
        <w:t xml:space="preserve">V. REQUEST FOR FORMAL HEARING</w:t>
      </w:r>
    </w:p>
    <w:p>
      <w:pPr>
        <w:spacing w:after="200"/>
      </w:pPr>
      <w:r>
        <w:rPr>
          <w:rFonts w:ascii="Arial" w:cs="Arial" w:eastAsia="Arial" w:hAnsi="Arial"/>
          <w:sz w:val="22"/>
          <w:szCs w:val="22"/>
        </w:rPr>
        <w:t xml:space="preserve">For the reasons set forth above, I respectfully decline to sign the proposed Stipulation and Consent Order. The factual findings in the Stipulation do not accurately represent the full record of this matter and were based solely on the Complainant’s one-sided account. I am entitled to present my evidence and have it properly weighed.</w:t>
      </w:r>
    </w:p>
    <w:p>
      <w:pPr>
        <w:spacing w:after="200"/>
      </w:pPr>
      <w:r>
        <w:rPr>
          <w:rFonts w:ascii="Arial" w:cs="Arial" w:eastAsia="Arial" w:hAnsi="Arial"/>
          <w:sz w:val="22"/>
          <w:szCs w:val="22"/>
        </w:rPr>
        <w:t xml:space="preserve">Pursuant to Idaho Code §67-5242 and the Idaho Administrative Procedure Act, I formally request a hearing before the Idaho Contractors Board. I intend to appear either personally or through retained legal counsel. I will present documentary evidence, call witnesses, and cross-examine the Complainant under oath.</w:t>
      </w:r>
    </w:p>
    <w:p>
      <w:pPr>
        <w:spacing w:after="200"/>
      </w:pPr>
      <w:r>
        <w:rPr>
          <w:rFonts w:ascii="Arial" w:cs="Arial" w:eastAsia="Arial" w:hAnsi="Arial"/>
          <w:sz w:val="22"/>
          <w:szCs w:val="22"/>
        </w:rPr>
        <w:t xml:space="preserve">I am committed to cooperating fully with this process. I am not evading accountability. I am requesting the opportunity to present a complete and accurate picture of what occurred on this project — a picture that is thoroughly documented and that tells a materially different story than what the Complainant has represented.</w:t>
      </w:r>
    </w:p>
    <w:p>
      <w:pPr>
        <w:spacing w:after="200"/>
      </w:pPr>
      <w:r>
        <w:rPr>
          <w:rFonts w:ascii="Arial" w:cs="Arial" w:eastAsia="Arial" w:hAnsi="Arial"/>
          <w:sz w:val="22"/>
          <w:szCs w:val="22"/>
        </w:rPr>
        <w:t xml:space="preserve">Please confirm receipt of this letter and advise as to the next steps in scheduling the formal hearing. I will ensure that counsel or I contact you no later than April 23, 2026.</w:t>
      </w:r>
    </w:p>
    <w:p>
      <w:pPr>
        <w:spacing w:after="80"/>
      </w:pPr>
      <w:r>
        <w:rPr>
          <w:rFonts w:ascii="Arial" w:cs="Arial" w:eastAsia="Arial" w:hAnsi="Arial"/>
          <w:sz w:val="22"/>
          <w:szCs w:val="22"/>
        </w:rPr>
        <w:t xml:space="preserve">Respectfully submitted,</w:t>
      </w:r>
    </w:p>
    <w:p>
      <w:pPr>
        <w:spacing w:after="400"/>
      </w:pPr>
      <w:r>
        <w:rPr>
          <w:rFonts w:ascii="Arial" w:cs="Arial" w:eastAsia="Arial" w:hAnsi="Arial"/>
          <w:sz w:val="22"/>
          <w:szCs w:val="22"/>
        </w:rPr>
        <w:t xml:space="preserve"/>
      </w:r>
    </w:p>
    <w:p>
      <w:pPr>
        <w:spacing w:after="40"/>
      </w:pPr>
      <w:r>
        <w:rPr>
          <w:rFonts w:ascii="Arial" w:cs="Arial" w:eastAsia="Arial" w:hAnsi="Arial"/>
          <w:b/>
          <w:bCs/>
          <w:sz w:val="22"/>
          <w:szCs w:val="22"/>
        </w:rPr>
        <w:t xml:space="preserve">Dakota Stewart</w:t>
      </w:r>
    </w:p>
    <w:p>
      <w:pPr>
        <w:spacing w:after="40"/>
      </w:pPr>
      <w:r>
        <w:rPr>
          <w:rFonts w:ascii="Arial" w:cs="Arial" w:eastAsia="Arial" w:hAnsi="Arial"/>
          <w:sz w:val="22"/>
          <w:szCs w:val="22"/>
        </w:rPr>
        <w:t xml:space="preserve">Blessed Remodeling</w:t>
      </w:r>
    </w:p>
    <w:p>
      <w:pPr>
        <w:spacing w:after="40"/>
      </w:pPr>
      <w:r>
        <w:rPr>
          <w:rFonts w:ascii="Arial" w:cs="Arial" w:eastAsia="Arial" w:hAnsi="Arial"/>
          <w:sz w:val="22"/>
          <w:szCs w:val="22"/>
        </w:rPr>
        <w:t xml:space="preserve">General Contractor License #8061070</w:t>
      </w:r>
    </w:p>
    <w:p>
      <w:pPr>
        <w:spacing w:after="40"/>
      </w:pPr>
      <w:r>
        <w:rPr>
          <w:rFonts w:ascii="Arial" w:cs="Arial" w:eastAsia="Arial" w:hAnsi="Arial"/>
          <w:sz w:val="22"/>
          <w:szCs w:val="22"/>
        </w:rPr>
        <w:t xml:space="preserve">(208) 505-7329</w:t>
      </w:r>
    </w:p>
    <w:p>
      <w:pPr>
        <w:spacing w:after="240"/>
      </w:pPr>
      <w:r>
        <w:rPr>
          <w:rFonts w:ascii="Arial" w:cs="Arial" w:eastAsia="Arial" w:hAnsi="Arial"/>
          <w:sz w:val="22"/>
          <w:szCs w:val="22"/>
        </w:rPr>
        <w:t xml:space="preserve">blessed.construction.ems@gmail.com</w:t>
      </w:r>
    </w:p>
    <w:p>
      <w:pPr>
        <w:spacing w:after="80"/>
      </w:pPr>
      <w:r>
        <w:rPr>
          <w:rFonts w:ascii="Arial" w:cs="Arial" w:eastAsia="Arial" w:hAnsi="Arial"/>
          <w:i/>
          <w:iCs/>
          <w:sz w:val="22"/>
          <w:szCs w:val="22"/>
        </w:rPr>
        <w:t xml:space="preserve">cc: Idaho Division of Occupational and Professional Licenses</w:t>
      </w:r>
    </w:p>
    <w:p>
      <w:pPr>
        <w:spacing w:after="40"/>
      </w:pPr>
      <w:r>
        <w:rPr>
          <w:rFonts w:ascii="Arial" w:cs="Arial" w:eastAsia="Arial" w:hAnsi="Arial"/>
          <w:i/>
          <w:iCs/>
          <w:sz w:val="22"/>
          <w:szCs w:val="22"/>
        </w:rPr>
        <w:t xml:space="preserve">Desiree Lanier, DOPL</w:t>
      </w:r>
    </w:p>
    <w:p>
      <w:pPr>
        <w:spacing w:after="40"/>
      </w:pPr>
      <w:r>
        <w:rPr>
          <w:rFonts w:ascii="Arial" w:cs="Arial" w:eastAsia="Arial" w:hAnsi="Arial"/>
          <w:i/>
          <w:iCs/>
          <w:sz w:val="22"/>
          <w:szCs w:val="22"/>
        </w:rPr>
        <w:t xml:space="preserve">550 W. State Street, Boise, ID 83702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2026-03-24T01:12:02.059Z</dcterms:created>
  <dcterms:modified xsi:type="dcterms:W3CDTF">2026-03-24T01:12:02.059Z</dcterms:modified>
</cp:coreProperties>
</file>

<file path=docProps/custom.xml><?xml version="1.0" encoding="utf-8"?>
<Properties xmlns="http://schemas.openxmlformats.org/officeDocument/2006/custom-properties" xmlns:vt="http://schemas.openxmlformats.org/officeDocument/2006/docPropsVTypes"/>
</file>