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FFFFFF" w:sz="0"/>
              <w:left w:val="nil" w:color="FFFFFF" w:sz="0"/>
              <w:bottom w:val="nil" w:color="FFFFFF" w:sz="0"/>
              <w:right w:val="nil" w:color="FFFFFF" w:sz="0"/>
            </w:tcBorders>
            <w:shd w:fill="1F4E79" w:val="clear"/>
            <w:tcMar>
              <w:top w:type="dxa" w:w="432"/>
              <w:left w:type="dxa" w:w="288"/>
              <w:bottom w:type="dxa" w:w="432"/>
              <w:right w:type="dxa" w:w="288"/>
            </w:tcMar>
          </w:tcPr>
          <w:p>
            <w:pPr>
              <w:spacing w:after="0" w:before="0"/>
              <w:jc w:val="center"/>
            </w:pPr>
            <w:r>
              <w:rPr>
                <w:rFonts w:ascii="Calibri" w:cs="Calibri" w:eastAsia="Calibri" w:hAnsi="Calibri"/>
                <w:b/>
                <w:bCs/>
                <w:color w:val="FFFFFF"/>
                <w:sz w:val="56"/>
                <w:szCs w:val="56"/>
              </w:rPr>
              <w:t xml:space="preserve">METHOD STATEMENT</w:t>
            </w:r>
          </w:p>
          <w:p>
            <w:pPr>
              <w:spacing w:after="0" w:before="60"/>
              <w:jc w:val="center"/>
            </w:pPr>
            <w:r>
              <w:rPr>
                <w:rFonts w:ascii="Calibri" w:cs="Calibri" w:eastAsia="Calibri" w:hAnsi="Calibri"/>
                <w:color w:val="D6E4F0"/>
                <w:sz w:val="32"/>
                <w:szCs w:val="32"/>
              </w:rPr>
              <w:t xml:space="preserve">Reinforced Cement Concrete (RCC) Works</w:t>
            </w:r>
          </w:p>
        </w:tc>
      </w:tr>
    </w:tbl>
    <w:p>
      <w:pPr>
        <w:spacing w:after="0" w:before="216"/>
      </w:pPr>
    </w:p>
    <w:p>
      <w:pPr>
        <w:pBdr>
          <w:bottom w:val="single" w:color="2E75B6" w:sz="10" w:space="1"/>
        </w:pBdr>
        <w:spacing w:after="0" w:before="0"/>
      </w:pPr>
    </w:p>
    <w:p>
      <w:pPr>
        <w:spacing w:after="0" w:before="21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68"/>
        <w:gridCol w:w="6758"/>
      </w:tblGrid>
      <w:tr>
        <w:tc>
          <w:tcPr>
            <w:tcW w:type="dxa" w:w="2268"/>
            <w:tcBorders>
              <w:top w:val="nil" w:color="FFFFFF" w:sz="0"/>
              <w:left w:val="nil" w:color="FFFFFF" w:sz="0"/>
              <w:bottom w:val="nil" w:color="FFFFFF" w:sz="0"/>
              <w:right w:val="nil" w:color="FFFFFF" w:sz="0"/>
            </w:tcBorders>
            <w:tcMar>
              <w:top w:type="dxa" w:w="80"/>
              <w:left w:type="dxa" w:w="0"/>
              <w:bottom w:type="dxa" w:w="80"/>
              <w:right w:type="dxa" w:w="120"/>
            </w:tcMar>
          </w:tcPr>
          <w:p>
            <w:r>
              <w:rPr>
                <w:rFonts w:ascii="Calibri" w:cs="Calibri" w:eastAsia="Calibri" w:hAnsi="Calibri"/>
                <w:b/>
                <w:bCs/>
                <w:color w:val="1F4E79"/>
                <w:sz w:val="22"/>
                <w:szCs w:val="22"/>
              </w:rPr>
              <w:t xml:space="preserve">Prepared by:</w:t>
            </w:r>
          </w:p>
        </w:tc>
        <w:tc>
          <w:tcPr>
            <w:tcW w:type="dxa" w:w="6758"/>
            <w:tcBorders>
              <w:top w:val="nil" w:color="FFFFFF" w:sz="0"/>
              <w:left w:val="nil" w:color="FFFFFF" w:sz="0"/>
              <w:bottom w:val="nil" w:color="FFFFFF" w:sz="0"/>
              <w:right w:val="nil" w:color="FFFFFF" w:sz="0"/>
            </w:tcBorders>
            <w:tcMar>
              <w:top w:type="dxa" w:w="80"/>
              <w:left w:type="dxa" w:w="120"/>
              <w:bottom w:type="dxa" w:w="80"/>
              <w:right w:type="dxa" w:w="0"/>
            </w:tcMar>
          </w:tcPr>
          <w:p>
            <w:r>
              <w:rPr>
                <w:rFonts w:ascii="Calibri" w:cs="Calibri" w:eastAsia="Calibri" w:hAnsi="Calibri"/>
                <w:color w:val="1A1A1A"/>
                <w:sz w:val="22"/>
                <w:szCs w:val="22"/>
              </w:rPr>
              <w:t xml:space="preserve">Musketeers</w:t>
            </w:r>
          </w:p>
        </w:tc>
      </w:tr>
      <w:tr>
        <w:tc>
          <w:tcPr>
            <w:tcW w:type="dxa" w:w="2268"/>
            <w:tcBorders>
              <w:top w:val="nil" w:color="FFFFFF" w:sz="0"/>
              <w:left w:val="nil" w:color="FFFFFF" w:sz="0"/>
              <w:bottom w:val="nil" w:color="FFFFFF" w:sz="0"/>
              <w:right w:val="nil" w:color="FFFFFF" w:sz="0"/>
            </w:tcBorders>
            <w:tcMar>
              <w:top w:type="dxa" w:w="80"/>
              <w:left w:type="dxa" w:w="0"/>
              <w:bottom w:type="dxa" w:w="80"/>
              <w:right w:type="dxa" w:w="120"/>
            </w:tcMar>
          </w:tcPr>
          <w:p>
            <w:r>
              <w:rPr>
                <w:rFonts w:ascii="Calibri" w:cs="Calibri" w:eastAsia="Calibri" w:hAnsi="Calibri"/>
                <w:b/>
                <w:bCs/>
                <w:color w:val="1F4E79"/>
                <w:sz w:val="22"/>
                <w:szCs w:val="22"/>
              </w:rPr>
              <w:t xml:space="preserve">Team Members:</w:t>
            </w:r>
          </w:p>
        </w:tc>
        <w:tc>
          <w:tcPr>
            <w:tcW w:type="dxa" w:w="6758"/>
            <w:tcBorders>
              <w:top w:val="nil" w:color="FFFFFF" w:sz="0"/>
              <w:left w:val="nil" w:color="FFFFFF" w:sz="0"/>
              <w:bottom w:val="nil" w:color="FFFFFF" w:sz="0"/>
              <w:right w:val="nil" w:color="FFFFFF" w:sz="0"/>
            </w:tcBorders>
            <w:tcMar>
              <w:top w:type="dxa" w:w="80"/>
              <w:left w:type="dxa" w:w="120"/>
              <w:bottom w:type="dxa" w:w="80"/>
              <w:right w:type="dxa" w:w="0"/>
            </w:tcMar>
          </w:tcPr>
          <w:p>
            <w:r>
              <w:rPr>
                <w:rFonts w:ascii="Calibri" w:cs="Calibri" w:eastAsia="Calibri" w:hAnsi="Calibri"/>
                <w:color w:val="1A1A1A"/>
                <w:sz w:val="22"/>
                <w:szCs w:val="22"/>
              </w:rPr>
              <w:t xml:space="preserve">Rishabh Sharma (Team Leader)</w:t>
            </w:r>
          </w:p>
          <w:p>
            <w:r>
              <w:rPr>
                <w:rFonts w:ascii="Calibri" w:cs="Calibri" w:eastAsia="Calibri" w:hAnsi="Calibri"/>
                <w:color w:val="1A1A1A"/>
                <w:sz w:val="22"/>
                <w:szCs w:val="22"/>
              </w:rPr>
              <w:t xml:space="preserve">Aman Likhitkar</w:t>
            </w:r>
          </w:p>
          <w:p>
            <w:r>
              <w:rPr>
                <w:rFonts w:ascii="Calibri" w:cs="Calibri" w:eastAsia="Calibri" w:hAnsi="Calibri"/>
                <w:color w:val="1A1A1A"/>
                <w:sz w:val="22"/>
                <w:szCs w:val="22"/>
              </w:rPr>
              <w:t xml:space="preserve">Rishabh Bharadwaj</w:t>
            </w:r>
          </w:p>
          <w:p>
            <w:r>
              <w:rPr>
                <w:rFonts w:ascii="Calibri" w:cs="Calibri" w:eastAsia="Calibri" w:hAnsi="Calibri"/>
                <w:color w:val="1A1A1A"/>
                <w:sz w:val="22"/>
                <w:szCs w:val="22"/>
              </w:rPr>
              <w:t xml:space="preserve">Deepak Pachauri</w:t>
            </w:r>
          </w:p>
        </w:tc>
      </w:tr>
      <w:tr>
        <w:tc>
          <w:tcPr>
            <w:tcW w:type="dxa" w:w="2268"/>
            <w:tcBorders>
              <w:top w:val="nil" w:color="FFFFFF" w:sz="0"/>
              <w:left w:val="nil" w:color="FFFFFF" w:sz="0"/>
              <w:bottom w:val="nil" w:color="FFFFFF" w:sz="0"/>
              <w:right w:val="nil" w:color="FFFFFF" w:sz="0"/>
            </w:tcBorders>
            <w:tcMar>
              <w:top w:type="dxa" w:w="80"/>
              <w:left w:type="dxa" w:w="0"/>
              <w:bottom w:type="dxa" w:w="80"/>
              <w:right w:type="dxa" w:w="120"/>
            </w:tcMar>
          </w:tcPr>
          <w:p>
            <w:r>
              <w:rPr>
                <w:rFonts w:ascii="Calibri" w:cs="Calibri" w:eastAsia="Calibri" w:hAnsi="Calibri"/>
                <w:b/>
                <w:bCs/>
                <w:color w:val="1F4E79"/>
                <w:sz w:val="22"/>
                <w:szCs w:val="22"/>
              </w:rPr>
              <w:t xml:space="preserve">Date:</w:t>
            </w:r>
          </w:p>
        </w:tc>
        <w:tc>
          <w:tcPr>
            <w:tcW w:type="dxa" w:w="6758"/>
            <w:tcBorders>
              <w:top w:val="nil" w:color="FFFFFF" w:sz="0"/>
              <w:left w:val="nil" w:color="FFFFFF" w:sz="0"/>
              <w:bottom w:val="nil" w:color="FFFFFF" w:sz="0"/>
              <w:right w:val="nil" w:color="FFFFFF" w:sz="0"/>
            </w:tcBorders>
            <w:tcMar>
              <w:top w:type="dxa" w:w="80"/>
              <w:left w:type="dxa" w:w="120"/>
              <w:bottom w:type="dxa" w:w="80"/>
              <w:right w:type="dxa" w:w="0"/>
            </w:tcMar>
          </w:tcPr>
          <w:p>
            <w:r>
              <w:rPr>
                <w:rFonts w:ascii="Calibri" w:cs="Calibri" w:eastAsia="Calibri" w:hAnsi="Calibri"/>
                <w:color w:val="1A1A1A"/>
                <w:sz w:val="22"/>
                <w:szCs w:val="22"/>
              </w:rPr>
              <w:t xml:space="preserve">01 May 2026</w:t>
            </w:r>
          </w:p>
        </w:tc>
      </w:tr>
      <w:tr>
        <w:tc>
          <w:tcPr>
            <w:tcW w:type="dxa" w:w="2268"/>
            <w:tcBorders>
              <w:top w:val="nil" w:color="FFFFFF" w:sz="0"/>
              <w:left w:val="nil" w:color="FFFFFF" w:sz="0"/>
              <w:bottom w:val="nil" w:color="FFFFFF" w:sz="0"/>
              <w:right w:val="nil" w:color="FFFFFF" w:sz="0"/>
            </w:tcBorders>
            <w:tcMar>
              <w:top w:type="dxa" w:w="80"/>
              <w:left w:type="dxa" w:w="0"/>
              <w:bottom w:type="dxa" w:w="80"/>
              <w:right w:type="dxa" w:w="120"/>
            </w:tcMar>
          </w:tcPr>
          <w:p>
            <w:r>
              <w:rPr>
                <w:rFonts w:ascii="Calibri" w:cs="Calibri" w:eastAsia="Calibri" w:hAnsi="Calibri"/>
                <w:b/>
                <w:bCs/>
                <w:color w:val="1F4E79"/>
                <w:sz w:val="22"/>
                <w:szCs w:val="22"/>
              </w:rPr>
              <w:t xml:space="preserve">Document Ref.:</w:t>
            </w:r>
          </w:p>
        </w:tc>
        <w:tc>
          <w:tcPr>
            <w:tcW w:type="dxa" w:w="6758"/>
            <w:tcBorders>
              <w:top w:val="nil" w:color="FFFFFF" w:sz="0"/>
              <w:left w:val="nil" w:color="FFFFFF" w:sz="0"/>
              <w:bottom w:val="nil" w:color="FFFFFF" w:sz="0"/>
              <w:right w:val="nil" w:color="FFFFFF" w:sz="0"/>
            </w:tcBorders>
            <w:tcMar>
              <w:top w:type="dxa" w:w="80"/>
              <w:left w:type="dxa" w:w="120"/>
              <w:bottom w:type="dxa" w:w="80"/>
              <w:right w:type="dxa" w:w="0"/>
            </w:tcMar>
          </w:tcPr>
          <w:p>
            <w:r>
              <w:rPr>
                <w:rFonts w:ascii="Calibri" w:cs="Calibri" w:eastAsia="Calibri" w:hAnsi="Calibri"/>
                <w:color w:val="1A1A1A"/>
                <w:sz w:val="22"/>
                <w:szCs w:val="22"/>
              </w:rPr>
              <w:t xml:space="preserve">Based on CPWD Prescriptive Specifications</w:t>
            </w:r>
          </w:p>
        </w:tc>
      </w:tr>
    </w:tbl>
    <w:p>
      <w:pPr>
        <w:spacing w:after="0" w:before="288"/>
      </w:pPr>
    </w:p>
    <w:p>
      <w:pPr>
        <w:pBdr>
          <w:bottom w:val="single" w:color="BDD7EE" w:sz="4" w:space="1"/>
        </w:pBdr>
        <w:spacing w:after="0" w:before="0"/>
      </w:pPr>
    </w:p>
    <w:p>
      <w:pPr>
        <w:spacing w:after="0" w:before="144"/>
      </w:pPr>
    </w:p>
    <w:p>
      <w:pPr>
        <w:spacing w:after="0" w:before="0"/>
        <w:jc w:val="center"/>
      </w:pPr>
      <w:r>
        <w:rPr>
          <w:rFonts w:ascii="Calibri" w:cs="Calibri" w:eastAsia="Calibri" w:hAnsi="Calibri"/>
          <w:i/>
          <w:iCs/>
          <w:caps/>
          <w:color w:val="595959"/>
          <w:sz w:val="18"/>
          <w:szCs w:val="18"/>
        </w:rPr>
        <w:t xml:space="preserve">CONFIDENTIAL — FOR PROJECT USE ONLY</w:t>
      </w:r>
    </w:p>
    <w:p>
      <w:r>
        <w:br w:type="page"/>
      </w:r>
    </w:p>
    <w:p>
      <w:pPr>
        <w:spacing w:after="0" w:before="40"/>
      </w:pPr>
    </w:p>
    <w:p>
      <w:pPr>
        <w:pStyle w:val="Heading1"/>
        <w:spacing w:after="30" w:before="0"/>
      </w:pPr>
      <w:r>
        <w:rPr>
          <w:rFonts w:ascii="Calibri" w:cs="Calibri" w:eastAsia="Calibri" w:hAnsi="Calibri"/>
          <w:b/>
          <w:bCs/>
          <w:caps w:val="false"/>
          <w:color w:val="1F4E79"/>
          <w:sz w:val="26"/>
          <w:szCs w:val="26"/>
        </w:rPr>
        <w:t xml:space="preserve">1.  Purpose of the Method Statement</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This method statement exists to outline the procedures for Reinforced Cement Concrete (RCC) works, which may be cast-in-situ or Precast as directed by Engineer-in-Charge (per §5.0 — GENERAL). The purpose is to ensure that the RCC work, comprising form work, reinforcement, and concreting, is carried out in accordance with the specified requirements (per §5.0 — GENERAL). By following this method statement, the contractor can ensure that the RCC works meet the specified strength and quality standards, as outlined in the specification (per §5.0 &gt; 5.9 &gt; 5.9.3 &gt; 5.9.3.3 — Specified Strength).</w:t>
      </w:r>
    </w:p>
    <w:p>
      <w:pPr>
        <w:spacing w:after="0" w:before="40"/>
      </w:pPr>
    </w:p>
    <w:p>
      <w:pPr>
        <w:pStyle w:val="Heading1"/>
        <w:spacing w:after="30" w:before="0"/>
      </w:pPr>
      <w:r>
        <w:rPr>
          <w:rFonts w:ascii="Calibri" w:cs="Calibri" w:eastAsia="Calibri" w:hAnsi="Calibri"/>
          <w:b/>
          <w:bCs/>
          <w:caps w:val="false"/>
          <w:color w:val="1F4E79"/>
          <w:sz w:val="26"/>
          <w:szCs w:val="26"/>
        </w:rPr>
        <w:t xml:space="preserve">2.  Scope of the Method Statement</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The work covered includes "Reinforced cement concrete work" which "may be cast-in-situ or Precast" (per §5.0 &gt; 5.0 — GENERAL), comprising of "form work (Centering and Shuttering)", "Reinforcement", and "Concreting" (per §5.0 &gt; 5.0 — GENERAL). This work includes structural elements such as "slabs", "beams", "columns", and "chajjas" (per §5.0 &gt; 5.25 &gt; 5.4.11 &gt; 5.4.11.4), with specific measurement regulations. The grade of concrete is not explicitly stated for all elements, but "cement used for concrete shall be in accordance with the requirements of IS 456" (per §5.0 &gt; 5.9 &gt; 5.9.1 &gt; 5.9.1.2). Concrete of each grade shall be assessed separately (per §5.0 &gt; 5.8.0 &gt; 5.8.3 &gt; 5.8.3.5).</w:t>
      </w:r>
    </w:p>
    <w:p>
      <w:pPr>
        <w:spacing w:after="0" w:before="40"/>
      </w:pPr>
    </w:p>
    <w:p>
      <w:pPr>
        <w:pStyle w:val="Heading1"/>
        <w:spacing w:after="30" w:before="0"/>
      </w:pPr>
      <w:r>
        <w:rPr>
          <w:rFonts w:ascii="Calibri" w:cs="Calibri" w:eastAsia="Calibri" w:hAnsi="Calibri"/>
          <w:b/>
          <w:bCs/>
          <w:caps w:val="false"/>
          <w:color w:val="1F4E79"/>
          <w:sz w:val="26"/>
          <w:szCs w:val="26"/>
        </w:rPr>
        <w:t xml:space="preserve">3.  Acronyms and Definitions</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IS - Indian Standard: a standard specification for various materials and tests, including concrete and cement.</w:t>
      </w:r>
    </w:p>
    <w:p>
      <w:pPr>
        <w:spacing w:after="40" w:before="20" w:line="252" w:lineRule="auto"/>
        <w:jc w:val="both"/>
      </w:pPr>
      <w:r>
        <w:rPr>
          <w:rFonts w:ascii="Calibri" w:cs="Calibri" w:eastAsia="Calibri" w:hAnsi="Calibri"/>
          <w:color w:val="1A1A1A"/>
          <w:sz w:val="22"/>
          <w:szCs w:val="22"/>
        </w:rPr>
        <w:t xml:space="preserve">SCC - Self-Compacting Concrete: a type of concrete that can flow and fill formwork without vibration, with classes including VS1 and VS2, which represent viscosity classes requiring specific V-funnel flow times.</w:t>
      </w:r>
    </w:p>
    <w:p>
      <w:pPr>
        <w:spacing w:after="40" w:before="20" w:line="252" w:lineRule="auto"/>
        <w:jc w:val="both"/>
      </w:pPr>
      <w:r>
        <w:rPr>
          <w:rFonts w:ascii="Calibri" w:cs="Calibri" w:eastAsia="Calibri" w:hAnsi="Calibri"/>
          <w:color w:val="1A1A1A"/>
          <w:sz w:val="22"/>
          <w:szCs w:val="22"/>
        </w:rPr>
        <w:t xml:space="preserve">VS1 - Viscosity Class 1 (SCC): viscosity class requiring good filling ability, even with congested reinforcement, and capable of self-levelling.</w:t>
      </w:r>
    </w:p>
    <w:p>
      <w:pPr>
        <w:spacing w:after="40" w:before="20" w:line="252" w:lineRule="auto"/>
        <w:jc w:val="both"/>
      </w:pPr>
      <w:r>
        <w:rPr>
          <w:rFonts w:ascii="Calibri" w:cs="Calibri" w:eastAsia="Calibri" w:hAnsi="Calibri"/>
          <w:color w:val="1A1A1A"/>
          <w:sz w:val="22"/>
          <w:szCs w:val="22"/>
        </w:rPr>
        <w:t xml:space="preserve">VS2 - Viscosity Class 2 (SCC): viscosity class with no upper class limit, but with increasing flow time, it may exhibit thixotropic effects, as per §5.0 &gt; 5.8.0 &gt; 5.8.6 &gt; 5.8.6.2.</w:t>
      </w:r>
    </w:p>
    <w:p>
      <w:pPr>
        <w:spacing w:after="40" w:before="20" w:line="252" w:lineRule="auto"/>
        <w:jc w:val="both"/>
      </w:pPr>
      <w:r>
        <w:rPr>
          <w:rFonts w:ascii="Calibri" w:cs="Calibri" w:eastAsia="Calibri" w:hAnsi="Calibri"/>
          <w:color w:val="1A1A1A"/>
          <w:sz w:val="22"/>
          <w:szCs w:val="22"/>
        </w:rPr>
        <w:t xml:space="preserve">CPWD - Central Public Works Department: the department responsible for the specifications, as mentioned in §5.0 &gt; 5.9 &gt; 5.9.1 &gt; 5.9.1.2 and other sections.</w:t>
      </w:r>
    </w:p>
    <w:p>
      <w:pPr>
        <w:spacing w:after="40" w:before="20" w:line="252" w:lineRule="auto"/>
        <w:jc w:val="both"/>
      </w:pPr>
      <w:r>
        <w:rPr>
          <w:rFonts w:ascii="Calibri" w:cs="Calibri" w:eastAsia="Calibri" w:hAnsi="Calibri"/>
          <w:color w:val="1A1A1A"/>
          <w:sz w:val="22"/>
          <w:szCs w:val="22"/>
        </w:rPr>
        <w:t xml:space="preserve">RCC - Reinforced Cement Concrete: a type of concrete that contains reinforcement, such as steel bars, as per §5.0 &gt; 5.9 &gt; 5.9.3 &gt; 5.9.3.2.</w:t>
      </w:r>
    </w:p>
    <w:p>
      <w:pPr>
        <w:spacing w:after="0" w:before="40"/>
      </w:pPr>
    </w:p>
    <w:p>
      <w:pPr>
        <w:pStyle w:val="Heading1"/>
        <w:spacing w:after="30" w:before="0"/>
      </w:pPr>
      <w:r>
        <w:rPr>
          <w:rFonts w:ascii="Calibri" w:cs="Calibri" w:eastAsia="Calibri" w:hAnsi="Calibri"/>
          <w:b/>
          <w:bCs/>
          <w:caps w:val="false"/>
          <w:color w:val="1F4E79"/>
          <w:sz w:val="26"/>
          <w:szCs w:val="26"/>
        </w:rPr>
        <w:t xml:space="preserve">4.  Reference Documents</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The following IS codes, BIS standards, and other documents are explicitly cited:</w:t>
      </w:r>
    </w:p>
    <w:p>
      <w:pPr>
        <w:pStyle w:val="ListParagraph"/>
        <w:numPr>
          <w:ilvl w:val="0"/>
          <w:numId w:val="2"/>
        </w:numPr>
        <w:spacing w:after="30" w:before="20" w:line="240" w:lineRule="auto"/>
      </w:pPr>
      <w:r>
        <w:rPr>
          <w:rFonts w:ascii="Calibri" w:cs="Calibri" w:eastAsia="Calibri" w:hAnsi="Calibri"/>
          <w:color w:val="1A1A1A"/>
          <w:sz w:val="22"/>
          <w:szCs w:val="22"/>
        </w:rPr>
        <w:t xml:space="preserve">IS 456, as mentioned in §5.0 &gt; 5.9 &gt; 5.9.3 &gt; 5.9.3.3 and §5.0 &gt; 5.1 &gt; 5.1.2.0 &gt; 5.1.2.1, for "Plain and Reinforced Concrete"</w:t>
      </w:r>
    </w:p>
    <w:p>
      <w:pPr>
        <w:pStyle w:val="ListParagraph"/>
        <w:numPr>
          <w:ilvl w:val="0"/>
          <w:numId w:val="2"/>
        </w:numPr>
        <w:spacing w:after="30" w:before="20" w:line="240" w:lineRule="auto"/>
      </w:pPr>
      <w:r>
        <w:rPr>
          <w:rFonts w:ascii="Calibri" w:cs="Calibri" w:eastAsia="Calibri" w:hAnsi="Calibri"/>
          <w:color w:val="1A1A1A"/>
          <w:sz w:val="22"/>
          <w:szCs w:val="22"/>
        </w:rPr>
        <w:t xml:space="preserve">IS 4926, as mentioned in §5.0 &gt; 5.9 &gt; 5.9.1 &gt; 5.9.1.4, for testing frequencies for aggregates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806, as mentioned in §5.0 &gt; 5.5 &gt; 5.6.7, for marking requirements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1363, as mentioned in §5.0 &gt; 5.5 &gt; 5.6.7, for marking requirements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4736, as mentioned in §5.0 &gt; 5.5 &gt; 5.6.7, for marking requirements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1341, as mentioned in §5.0 &gt; 5.5 &gt; 5.6.7, for hinges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1608, as mentioned in §5.0 &gt; 5.3 &gt; 5.3.4, for measurement</w:t>
      </w:r>
    </w:p>
    <w:p>
      <w:pPr>
        <w:pStyle w:val="ListParagraph"/>
        <w:numPr>
          <w:ilvl w:val="0"/>
          <w:numId w:val="2"/>
        </w:numPr>
        <w:spacing w:after="30" w:before="20" w:line="240" w:lineRule="auto"/>
      </w:pPr>
      <w:r>
        <w:rPr>
          <w:rFonts w:ascii="Calibri" w:cs="Calibri" w:eastAsia="Calibri" w:hAnsi="Calibri"/>
          <w:color w:val="1A1A1A"/>
          <w:sz w:val="22"/>
          <w:szCs w:val="22"/>
        </w:rPr>
        <w:t xml:space="preserve">IS 226, as mentioned in §5.0 &gt; 5.3 &gt; 5.3.4, for measurement</w:t>
      </w:r>
    </w:p>
    <w:p>
      <w:pPr>
        <w:pStyle w:val="ListParagraph"/>
        <w:numPr>
          <w:ilvl w:val="0"/>
          <w:numId w:val="2"/>
        </w:numPr>
        <w:spacing w:after="30" w:before="20" w:line="240" w:lineRule="auto"/>
      </w:pPr>
      <w:r>
        <w:rPr>
          <w:rFonts w:ascii="Calibri" w:cs="Calibri" w:eastAsia="Calibri" w:hAnsi="Calibri"/>
          <w:color w:val="1A1A1A"/>
          <w:sz w:val="22"/>
          <w:szCs w:val="22"/>
        </w:rPr>
        <w:t xml:space="preserve">IS 1786, as mentioned in §5.0 &gt; 5.3 &gt; 5.3.4 and §5.0 &gt; 5.3A.6, for HSD Bars and rebend test</w:t>
      </w:r>
    </w:p>
    <w:p>
      <w:pPr>
        <w:pStyle w:val="ListParagraph"/>
        <w:numPr>
          <w:ilvl w:val="0"/>
          <w:numId w:val="2"/>
        </w:numPr>
        <w:spacing w:after="30" w:before="20" w:line="240" w:lineRule="auto"/>
      </w:pPr>
      <w:r>
        <w:rPr>
          <w:rFonts w:ascii="Calibri" w:cs="Calibri" w:eastAsia="Calibri" w:hAnsi="Calibri"/>
          <w:color w:val="1A1A1A"/>
          <w:sz w:val="22"/>
          <w:szCs w:val="22"/>
        </w:rPr>
        <w:t xml:space="preserve">IS 6523, as mentioned in §5.0 &gt; 5.5 &gt; 5.6.7, for requirements</w:t>
      </w:r>
    </w:p>
    <w:p>
      <w:pPr>
        <w:pStyle w:val="ListParagraph"/>
        <w:numPr>
          <w:ilvl w:val="0"/>
          <w:numId w:val="2"/>
        </w:numPr>
        <w:spacing w:after="30" w:before="20" w:line="240" w:lineRule="auto"/>
      </w:pPr>
      <w:r>
        <w:rPr>
          <w:rFonts w:ascii="Calibri" w:cs="Calibri" w:eastAsia="Calibri" w:hAnsi="Calibri"/>
          <w:color w:val="1A1A1A"/>
          <w:sz w:val="22"/>
          <w:szCs w:val="22"/>
        </w:rPr>
        <w:t xml:space="preserve">IS 432 (Part-I &amp; II), as mentioned in §5.0 &gt; 5.5 &gt; 5.6A.1.4, for steel reinforcement</w:t>
      </w:r>
    </w:p>
    <w:p>
      <w:pPr>
        <w:pStyle w:val="ListParagraph"/>
        <w:numPr>
          <w:ilvl w:val="0"/>
          <w:numId w:val="2"/>
        </w:numPr>
        <w:spacing w:after="30" w:before="20" w:line="240" w:lineRule="auto"/>
      </w:pPr>
      <w:r>
        <w:rPr>
          <w:rFonts w:ascii="Calibri" w:cs="Calibri" w:eastAsia="Calibri" w:hAnsi="Calibri"/>
          <w:color w:val="1A1A1A"/>
          <w:sz w:val="22"/>
          <w:szCs w:val="22"/>
        </w:rPr>
        <w:t xml:space="preserve">BIS code, as mentioned in §5.0 &gt; 5.3A.6, for HSD Bars.</w:t>
      </w:r>
    </w:p>
    <w:p>
      <w:pPr>
        <w:spacing w:after="0" w:before="40"/>
      </w:pPr>
    </w:p>
    <w:p>
      <w:pPr>
        <w:pStyle w:val="Heading1"/>
        <w:spacing w:after="30" w:before="0"/>
      </w:pPr>
      <w:r>
        <w:rPr>
          <w:rFonts w:ascii="Calibri" w:cs="Calibri" w:eastAsia="Calibri" w:hAnsi="Calibri"/>
          <w:b/>
          <w:bCs/>
          <w:caps w:val="false"/>
          <w:color w:val="1F4E79"/>
          <w:sz w:val="26"/>
          <w:szCs w:val="26"/>
        </w:rPr>
        <w:t xml:space="preserve">5.  Procedure for Concreting</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The concreting procedure involves several steps, including formwork, reinforcement, mix design/batching, mixing, transportation and placing, compaction, finishing, and curing.</w:t>
      </w:r>
    </w:p>
    <w:p>
      <w:pPr>
        <w:spacing w:after="40" w:before="20" w:line="252" w:lineRule="auto"/>
        <w:jc w:val="both"/>
      </w:pPr>
      <w:r>
        <w:rPr>
          <w:rFonts w:ascii="Calibri" w:cs="Calibri" w:eastAsia="Calibri" w:hAnsi="Calibri"/>
          <w:color w:val="1A1A1A"/>
          <w:sz w:val="22"/>
          <w:szCs w:val="22"/>
        </w:rPr>
        <w:t xml:space="preserve">(a) Formwork: The completed form work shall be inspected and approved by the Engineer-in-Charge before the reinforcement bars are placed in position, as per §5.0 &gt; 5.8 &gt; 5.2.5. Proper form work should be adopted for concreting so as to avoid honey combing, blow holes, grout loss, stains or discoloration of concrete etc.</w:t>
      </w:r>
    </w:p>
    <w:p>
      <w:pPr>
        <w:spacing w:after="40" w:before="20" w:line="252" w:lineRule="auto"/>
        <w:jc w:val="both"/>
      </w:pPr>
      <w:r>
        <w:rPr>
          <w:rFonts w:ascii="Calibri" w:cs="Calibri" w:eastAsia="Calibri" w:hAnsi="Calibri"/>
          <w:color w:val="1A1A1A"/>
          <w:sz w:val="22"/>
          <w:szCs w:val="22"/>
        </w:rPr>
        <w:t xml:space="preserve">(b) Reinforcement: Steel for reinforcement shall be thermo mechanically treated bar Fe-500D as per §5.0 &gt; 5.8.0 &gt; 5.8.6 &gt; 5.8.6.2, or more as per clause 5.1.3 of CPWD Specification Vol.I, 2019 with upto date correction slips.</w:t>
      </w:r>
    </w:p>
    <w:p>
      <w:pPr>
        <w:spacing w:after="40" w:before="20" w:line="252" w:lineRule="auto"/>
        <w:jc w:val="both"/>
      </w:pPr>
      <w:r>
        <w:rPr>
          <w:rFonts w:ascii="Calibri" w:cs="Calibri" w:eastAsia="Calibri" w:hAnsi="Calibri"/>
          <w:color w:val="1A1A1A"/>
          <w:sz w:val="22"/>
          <w:szCs w:val="22"/>
        </w:rPr>
        <w:t xml:space="preserve">(c) Mix Design / Batching: Mix proportions shall be designed to ensure that the workability of fresh concrete is suitable for conditions of handling and placing, so that after compaction it surrounds all reinforcement and completely fills the formwork, as per §5.0 &gt; 5.8.0 &gt; 5.8.1 &gt; 5.8.1.1. The concrete mix design shall be done as “Design Mix Concrete” as prescribed in clause- 9 of IS 456 mentioned in §5.0 &gt; 5.8.0 &gt; 5.8.6 &gt; 5.8.6.2.</w:t>
      </w:r>
    </w:p>
    <w:p>
      <w:pPr>
        <w:spacing w:after="40" w:before="20" w:line="252" w:lineRule="auto"/>
        <w:jc w:val="both"/>
      </w:pPr>
      <w:r>
        <w:rPr>
          <w:rFonts w:ascii="Calibri" w:cs="Calibri" w:eastAsia="Calibri" w:hAnsi="Calibri"/>
          <w:color w:val="1A1A1A"/>
          <w:sz w:val="22"/>
          <w:szCs w:val="22"/>
        </w:rPr>
        <w:t xml:space="preserve">(d) Mixing: Concrete shall be mixed in mechanical batch type concrete mixers conforming to IS 1791 having two blades and fitted with power loader, as per §4.0 &gt; 4.2 &gt; 4.2.5. While the drum is rotating, water shall be added gradually to achieve the water cement ratio as specified or as required by the Engineer- in-Charge, as per §4.0 &gt; 4.2 &gt; 4.2.5 &gt; 4.2.5.3.</w:t>
      </w:r>
    </w:p>
    <w:p>
      <w:pPr>
        <w:spacing w:after="40" w:before="20" w:line="252" w:lineRule="auto"/>
        <w:jc w:val="both"/>
      </w:pPr>
      <w:r>
        <w:rPr>
          <w:rFonts w:ascii="Calibri" w:cs="Calibri" w:eastAsia="Calibri" w:hAnsi="Calibri"/>
          <w:color w:val="1A1A1A"/>
          <w:sz w:val="22"/>
          <w:szCs w:val="22"/>
        </w:rPr>
        <w:t xml:space="preserve">(e) Transportation &amp; Placing: The layers of concrete shall be so placed that the bottom layer does not finally set before the top layer is placed, as per §5.0 &gt; 5.4.0 &gt; 5.4.3 &gt; 5.4.3.1. Placement contractor shall transport concrete from truck discharge point to actual placement location within 10 minutes of delivery, before the final slump reading is taken at placement location, as per §5.0 &gt; 5.11 &gt; 5.11.4 &gt; 5.11.4.1.</w:t>
      </w:r>
    </w:p>
    <w:p>
      <w:pPr>
        <w:spacing w:after="40" w:before="20" w:line="252" w:lineRule="auto"/>
        <w:jc w:val="both"/>
      </w:pPr>
      <w:r>
        <w:rPr>
          <w:rFonts w:ascii="Calibri" w:cs="Calibri" w:eastAsia="Calibri" w:hAnsi="Calibri"/>
          <w:color w:val="1A1A1A"/>
          <w:sz w:val="22"/>
          <w:szCs w:val="22"/>
        </w:rPr>
        <w:t xml:space="preserve">(f) Compaction: Concrete shall be compacted into dense mass immediately after placing by means of vibrators, as per §5.0 &gt; 5.4.0 &gt; 5.4.3 &gt; 5.4.3.1. Compaction shall be completed before the initial setting starts, i.e. with 30 minutes of addition of water to the dry mixture, as per §5.0 &gt; 5.4.0 &gt; 5.4.3 &gt; 5.4.3.2.</w:t>
      </w:r>
    </w:p>
    <w:p>
      <w:pPr>
        <w:spacing w:after="40" w:before="20" w:line="252" w:lineRule="auto"/>
        <w:jc w:val="both"/>
      </w:pPr>
      <w:r>
        <w:rPr>
          <w:rFonts w:ascii="Calibri" w:cs="Calibri" w:eastAsia="Calibri" w:hAnsi="Calibri"/>
          <w:color w:val="1A1A1A"/>
          <w:sz w:val="22"/>
          <w:szCs w:val="22"/>
        </w:rPr>
        <w:t xml:space="preserve">(g) Finishing: The concrete surface shall be finished as required, after compaction is complete.</w:t>
      </w:r>
    </w:p>
    <w:p>
      <w:pPr>
        <w:spacing w:after="40" w:before="20" w:line="252" w:lineRule="auto"/>
        <w:jc w:val="both"/>
      </w:pPr>
      <w:r>
        <w:rPr>
          <w:rFonts w:ascii="Calibri" w:cs="Calibri" w:eastAsia="Calibri" w:hAnsi="Calibri"/>
          <w:color w:val="1A1A1A"/>
          <w:sz w:val="22"/>
          <w:szCs w:val="22"/>
        </w:rPr>
        <w:t xml:space="preserve">(h) Curing: Exposed surfaces of concrete shall be kept continuously in a damp or wet condition by ponding or by covering with a layer of sacking, canvas, Hessian or similar materials and kept constantly wet for at least 10 days from the date of placing concrete, as per §4.0 &gt; 1.5 &gt; 4.2.10 &gt; 4.2.10.1 and §5.0 &gt; 5.8.0 &gt; 5.8.6 &gt; 5.8.6.2. In hot &amp; arid regions, the minimum curing period shall be 14 days or its equivalent, as per §5.0 &gt; 5.8.0 &gt; 5.8.6 &gt; 5.8.6.2. The mix shall be so designed as to restrict the maximum free water cement ratio to less than 0.5, as per §5.0 &gt; 5.8.0 &gt; 5.8.5 &gt; 5.8.5.1. The concrete mix design shall be done for minimum grade M50/M60 by using admixure Retarder / Plasticizer and micro silica, as per §5.0 &gt; 5.8.0 &gt; 5.8.6 &gt; 5.8.6.2.</w:t>
      </w:r>
    </w:p>
    <w:p>
      <w:pPr>
        <w:spacing w:after="0" w:before="40"/>
      </w:pPr>
    </w:p>
    <w:p>
      <w:pPr>
        <w:pStyle w:val="Heading1"/>
        <w:spacing w:after="30" w:before="0"/>
      </w:pPr>
      <w:r>
        <w:rPr>
          <w:rFonts w:ascii="Calibri" w:cs="Calibri" w:eastAsia="Calibri" w:hAnsi="Calibri"/>
          <w:b/>
          <w:bCs/>
          <w:caps w:val="false"/>
          <w:color w:val="1F4E79"/>
          <w:sz w:val="26"/>
          <w:szCs w:val="26"/>
        </w:rPr>
        <w:t xml:space="preserve">6.  Equipment Used</w:t>
      </w:r>
    </w:p>
    <w:p>
      <w:pPr>
        <w:pBdr>
          <w:bottom w:val="single" w:color="2E75B6" w:sz="6" w:space="1"/>
        </w:pBdr>
        <w:spacing w:after="0" w:before="0"/>
      </w:pPr>
    </w:p>
    <w:p>
      <w:pPr>
        <w:spacing w:after="0" w:before="20"/>
      </w:pPr>
    </w:p>
    <w:p>
      <w:pPr>
        <w:pStyle w:val="ListParagraph"/>
        <w:numPr>
          <w:ilvl w:val="0"/>
          <w:numId w:val="3"/>
        </w:numPr>
        <w:spacing w:after="30" w:before="20" w:line="240" w:lineRule="auto"/>
      </w:pPr>
      <w:r>
        <w:rPr>
          <w:rFonts w:ascii="Calibri" w:cs="Calibri" w:eastAsia="Calibri" w:hAnsi="Calibri"/>
          <w:color w:val="1A1A1A"/>
          <w:sz w:val="22"/>
          <w:szCs w:val="22"/>
        </w:rPr>
        <w:t xml:space="preserve">Mechanical batch type concrete mixers (per §4.0 &gt; 4.2 &gt; 4.2.5) for mixing concrete, having two blades and fitted with power loader (lifting hopper type)</w:t>
      </w:r>
    </w:p>
    <w:p>
      <w:pPr>
        <w:pStyle w:val="ListParagraph"/>
        <w:numPr>
          <w:ilvl w:val="0"/>
          <w:numId w:val="3"/>
        </w:numPr>
        <w:spacing w:after="30" w:before="20" w:line="240" w:lineRule="auto"/>
      </w:pPr>
      <w:r>
        <w:rPr>
          <w:rFonts w:ascii="Calibri" w:cs="Calibri" w:eastAsia="Calibri" w:hAnsi="Calibri"/>
          <w:color w:val="1A1A1A"/>
          <w:sz w:val="22"/>
          <w:szCs w:val="22"/>
        </w:rPr>
        <w:t xml:space="preserve">Truck mixers (per §5.0 &gt; 5.9 &gt; 5.9.6 &gt; 5.9.6.4) for partial or complete mixing of concrete</w:t>
      </w:r>
    </w:p>
    <w:p>
      <w:pPr>
        <w:pStyle w:val="ListParagraph"/>
        <w:numPr>
          <w:ilvl w:val="0"/>
          <w:numId w:val="3"/>
        </w:numPr>
        <w:spacing w:after="30" w:before="20" w:line="240" w:lineRule="auto"/>
      </w:pPr>
      <w:r>
        <w:rPr>
          <w:rFonts w:ascii="Calibri" w:cs="Calibri" w:eastAsia="Calibri" w:hAnsi="Calibri"/>
          <w:color w:val="1A1A1A"/>
          <w:sz w:val="22"/>
          <w:szCs w:val="22"/>
        </w:rPr>
        <w:t xml:space="preserve">Vibrators, including mechanical vibrators (per §4.0 &gt; 4.2 &gt; 4.2.7 and §5.0 &gt; 5.4.0 &gt; 5.4.3 &gt; 5.4.3.1) for compaction, and needle vibrators (per §5.0 &gt; 5.4.0 &gt; 5.4.3 &gt; 5.4.3.2) for internal vibration</w:t>
      </w:r>
    </w:p>
    <w:p>
      <w:pPr>
        <w:pStyle w:val="ListParagraph"/>
        <w:numPr>
          <w:ilvl w:val="0"/>
          <w:numId w:val="3"/>
        </w:numPr>
        <w:spacing w:after="30" w:before="20" w:line="240" w:lineRule="auto"/>
      </w:pPr>
      <w:r>
        <w:rPr>
          <w:rFonts w:ascii="Calibri" w:cs="Calibri" w:eastAsia="Calibri" w:hAnsi="Calibri"/>
          <w:color w:val="1A1A1A"/>
          <w:sz w:val="22"/>
          <w:szCs w:val="22"/>
        </w:rPr>
        <w:t xml:space="preserve">Squeeze pressure pumps (per §5.0 &gt; 5.10 &gt; 5.10.2 &gt; 5.10.2.2) for pumping concrete</w:t>
      </w:r>
    </w:p>
    <w:p>
      <w:pPr>
        <w:pStyle w:val="ListParagraph"/>
        <w:numPr>
          <w:ilvl w:val="0"/>
          <w:numId w:val="3"/>
        </w:numPr>
        <w:spacing w:after="30" w:before="20" w:line="240" w:lineRule="auto"/>
      </w:pPr>
      <w:r>
        <w:rPr>
          <w:rFonts w:ascii="Calibri" w:cs="Calibri" w:eastAsia="Calibri" w:hAnsi="Calibri"/>
          <w:color w:val="1A1A1A"/>
          <w:sz w:val="22"/>
          <w:szCs w:val="22"/>
        </w:rPr>
        <w:t xml:space="preserve">Tamping rods (per §5.0 &gt; 5.4.0 &gt; 5.4.3 &gt; 5.4.3.1) for hand compaction</w:t>
      </w:r>
    </w:p>
    <w:p>
      <w:pPr>
        <w:pStyle w:val="ListParagraph"/>
        <w:numPr>
          <w:ilvl w:val="0"/>
          <w:numId w:val="3"/>
        </w:numPr>
        <w:spacing w:after="30" w:before="20" w:line="240" w:lineRule="auto"/>
      </w:pPr>
      <w:r>
        <w:rPr>
          <w:rFonts w:ascii="Calibri" w:cs="Calibri" w:eastAsia="Calibri" w:hAnsi="Calibri"/>
          <w:color w:val="1A1A1A"/>
          <w:sz w:val="22"/>
          <w:szCs w:val="22"/>
        </w:rPr>
        <w:t xml:space="preserve">Wooden trowel (per §4.0 &gt; 4.2 &gt; 4.2.7) for finishing the top surface of concrete</w:t>
      </w:r>
    </w:p>
    <w:p>
      <w:pPr>
        <w:pStyle w:val="ListParagraph"/>
        <w:numPr>
          <w:ilvl w:val="0"/>
          <w:numId w:val="3"/>
        </w:numPr>
        <w:spacing w:after="30" w:before="20" w:line="240" w:lineRule="auto"/>
      </w:pPr>
      <w:r>
        <w:rPr>
          <w:rFonts w:ascii="Calibri" w:cs="Calibri" w:eastAsia="Calibri" w:hAnsi="Calibri"/>
          <w:color w:val="1A1A1A"/>
          <w:sz w:val="22"/>
          <w:szCs w:val="22"/>
        </w:rPr>
        <w:t xml:space="preserve">Re-mixing blades (per §5.0 &gt; 5.10 &gt; 5.10.2 &gt; 5.10.2.2) for re-mixing concrete in squeeze pressure pumps</w:t>
      </w:r>
    </w:p>
    <w:p>
      <w:pPr>
        <w:pStyle w:val="ListParagraph"/>
        <w:numPr>
          <w:ilvl w:val="0"/>
          <w:numId w:val="3"/>
        </w:numPr>
        <w:spacing w:after="30" w:before="20" w:line="240" w:lineRule="auto"/>
      </w:pPr>
      <w:r>
        <w:rPr>
          <w:rFonts w:ascii="Calibri" w:cs="Calibri" w:eastAsia="Calibri" w:hAnsi="Calibri"/>
          <w:color w:val="1A1A1A"/>
          <w:sz w:val="22"/>
          <w:szCs w:val="22"/>
        </w:rPr>
        <w:t xml:space="preserve">Steel props (per §5.0 &gt; 5.8 &gt; 5.2.5 &gt; 5.2.5.1 and §5.0 &gt; 5.8 &gt; 5.2.5 &gt; 5.2.5.1) for supporting form work</w:t>
      </w:r>
    </w:p>
    <w:p>
      <w:pPr>
        <w:pStyle w:val="ListParagraph"/>
        <w:numPr>
          <w:ilvl w:val="0"/>
          <w:numId w:val="3"/>
        </w:numPr>
        <w:spacing w:after="30" w:before="20" w:line="240" w:lineRule="auto"/>
      </w:pPr>
      <w:r>
        <w:rPr>
          <w:rFonts w:ascii="Calibri" w:cs="Calibri" w:eastAsia="Calibri" w:hAnsi="Calibri"/>
          <w:color w:val="1A1A1A"/>
          <w:sz w:val="22"/>
          <w:szCs w:val="22"/>
        </w:rPr>
        <w:t xml:space="preserve">Adjustable steel props (per §5.0 &gt; 5.8 &gt; 5.2.5 &gt; 5.2.5.1) for adjustable support of form work</w:t>
      </w:r>
    </w:p>
    <w:p>
      <w:pPr>
        <w:pStyle w:val="ListParagraph"/>
        <w:numPr>
          <w:ilvl w:val="0"/>
          <w:numId w:val="3"/>
        </w:numPr>
        <w:spacing w:after="30" w:before="20" w:line="240" w:lineRule="auto"/>
      </w:pPr>
      <w:r>
        <w:rPr>
          <w:rFonts w:ascii="Calibri" w:cs="Calibri" w:eastAsia="Calibri" w:hAnsi="Calibri"/>
          <w:color w:val="1A1A1A"/>
          <w:sz w:val="22"/>
          <w:szCs w:val="22"/>
        </w:rPr>
        <w:t xml:space="preserve">Vibrating tables (per §5.0 &gt; 5.5 &gt; 5.6.7) for achieving adequate compaction and smooth finish of concrete</w:t>
      </w:r>
    </w:p>
    <w:p>
      <w:pPr>
        <w:spacing w:after="0" w:before="40"/>
      </w:pPr>
    </w:p>
    <w:p>
      <w:pPr>
        <w:pStyle w:val="Heading1"/>
        <w:spacing w:after="30" w:before="0"/>
      </w:pPr>
      <w:r>
        <w:rPr>
          <w:rFonts w:ascii="Calibri" w:cs="Calibri" w:eastAsia="Calibri" w:hAnsi="Calibri"/>
          <w:b/>
          <w:bCs/>
          <w:caps w:val="false"/>
          <w:color w:val="1F4E79"/>
          <w:sz w:val="26"/>
          <w:szCs w:val="26"/>
        </w:rPr>
        <w:t xml:space="preserve">7.  Key People Involved</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The Concrete Manufacturer/ Placement contractor shall set up a laboratory staffed with "qualified and experienced scientists and technicians" (per §5.0 &gt; 5.11 &gt; 5.11.5). The "Engineer-in-Charge" shall decide where tests are to be conducted and may instruct tests to be conducted at laboratories other than the field laboratory (per §5.0 &gt; 5.11 &gt; 5.11.5). The "technician conducting such test" and the "Engineer-in-Charge authorized representative" shall jointly sign test reports and observation reports (per §5.0 &gt; 5.11 &gt; 5.11.5). A "competent person" shall systematically review specification and orders supplied by the purchaser (per §5.0 &gt; 5.9 &gt; 5.9.8). Additionally, "qualified technicians" shall conduct tests at the field laboratory (per §5.0 &gt; 5.11 &gt; 5.11.5).</w:t>
      </w:r>
    </w:p>
    <w:p>
      <w:pPr>
        <w:spacing w:after="0" w:before="40"/>
      </w:pPr>
    </w:p>
    <w:p>
      <w:pPr>
        <w:pStyle w:val="Heading1"/>
        <w:spacing w:after="30" w:before="0"/>
      </w:pPr>
      <w:r>
        <w:rPr>
          <w:rFonts w:ascii="Calibri" w:cs="Calibri" w:eastAsia="Calibri" w:hAnsi="Calibri"/>
          <w:b/>
          <w:bCs/>
          <w:caps w:val="false"/>
          <w:color w:val="1F4E79"/>
          <w:sz w:val="26"/>
          <w:szCs w:val="26"/>
        </w:rPr>
        <w:t xml:space="preserve">8.  Quality Control and Testing</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Quality control of hardened concrete involves "sampling and testing for quality control of hardened concrete" (per §5.0 &gt; 5.11 &gt; 5.11.5). The "frequency and number of such tests shall be as per Mix of requirements of concrete manufacturer" (per §5.0 &gt; 5.11 &gt; 5.11.5). The "number of samples" is determined by the "Quantity of concrete Delivered (cum)" (per §5.0 &gt; 5.11 &gt; 5.11.5), with specific guidelines provided in Table 5.8. Test types include "crushing strength test on concrete" (per §5.0 &gt; 5.11 &gt; 5.11.5) and "non-destructive tests" such as "rebound hammer test" (per §5.0 &gt; 5.11 &gt; 5.11.5). Acceptance criteria include that the "average of the strength of three specimen be accepted as the compressive strength of the concrete" (per §5.0 &gt; 5.25 &gt; 5.4.10 &gt; 5.4.10.3), with the strength of any individual cube neither less than 70% nor higher than 130% of the specified strength. Hold points include that "no concreting will be allowed unless the standard specimen cubes are obtained" (per §5.0 &gt; 5.25 &gt; 5.4.10 &gt; 5.4.10.5).</w:t>
      </w:r>
    </w:p>
    <w:p>
      <w:pPr>
        <w:spacing w:after="0" w:before="40"/>
      </w:pPr>
    </w:p>
    <w:p>
      <w:pPr>
        <w:pStyle w:val="Heading1"/>
        <w:spacing w:after="30" w:before="0"/>
      </w:pPr>
      <w:r>
        <w:rPr>
          <w:rFonts w:ascii="Calibri" w:cs="Calibri" w:eastAsia="Calibri" w:hAnsi="Calibri"/>
          <w:b/>
          <w:bCs/>
          <w:caps w:val="false"/>
          <w:color w:val="1F4E79"/>
          <w:sz w:val="26"/>
          <w:szCs w:val="26"/>
        </w:rPr>
        <w:t xml:space="preserve">9.  Health, Safety &amp; Environment (HSE)</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Provision of safety net, fall arresting system including other safety gears, for workers, working over these structures shall be made in contract and should be followed strictly (per §5.0 &gt; 5.8 &gt; 5.2.5 &gt; 5.2.5.2). A detailed programme of field safety inspection of centering/scaffolding/form work of such structures during different stages should be chalked out and strictly followed. Freshly laid concrete shall be protected from rain by suitable covering (per §4.0 &gt; 1.5 &gt; 4.2.10 &gt; 4.2.10.3). Concrete work executed in the following conditions shall be measured separately, including work in or under water, work in liquid mud, and work in or under foul positions (per §4.0 &gt; 1.5 &gt; 4.2.15 &gt; 4.2.15.2).</w:t>
      </w:r>
    </w:p>
    <w:p>
      <w:pPr>
        <w:spacing w:after="0" w:before="40"/>
      </w:pPr>
    </w:p>
    <w:p>
      <w:pPr>
        <w:pStyle w:val="Heading1"/>
        <w:spacing w:after="30" w:before="0"/>
      </w:pPr>
      <w:r>
        <w:rPr>
          <w:rFonts w:ascii="Calibri" w:cs="Calibri" w:eastAsia="Calibri" w:hAnsi="Calibri"/>
          <w:b/>
          <w:bCs/>
          <w:caps w:val="false"/>
          <w:color w:val="1F4E79"/>
          <w:sz w:val="26"/>
          <w:szCs w:val="26"/>
        </w:rPr>
        <w:t xml:space="preserve">10. Other Relevant Information</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color w:val="1A1A1A"/>
          <w:sz w:val="22"/>
          <w:szCs w:val="22"/>
        </w:rPr>
        <w:t xml:space="preserve">Concreting shall be done as per the procedure set out in IS 7861 (Part–I)-1975 and IS 7861 (Part II)-1981 respectively, during hot and cold weather (per §4.0 &gt; 1.5 &gt; 4.2.9 &gt; 4.2.9.1). During cold weather, concreting shall not be done when the temperature falls below 4.50C (per §5.0 &gt; 5.4.0 &gt; 5.4.2 &gt; 5.4.2.5) and the concrete placed shall be protected against frost. In hot weather, precaution shall be taken to see that the temperature of wet concrete does not exceed 38ºC (per §5.0 &gt; 5.4.0 &gt; 5.4.2 &gt; 5.4.2.6). Defective work shall be repaired, and if the concrete is deemed not to comply, the structural adequacy of the parts affected shall be investigated (per §5.0 &gt; 5.8.0 &gt; 5.8.3 &gt; 5.8.3.4).</w:t>
      </w:r>
    </w:p>
    <w:p>
      <w:r>
        <w:br w:type="page"/>
      </w:r>
    </w:p>
    <w:p>
      <w:pPr>
        <w:spacing w:after="0" w:before="40"/>
      </w:pPr>
    </w:p>
    <w:p>
      <w:pPr>
        <w:pStyle w:val="Heading1"/>
        <w:spacing w:after="30" w:before="0"/>
      </w:pPr>
      <w:r>
        <w:rPr>
          <w:rFonts w:ascii="Calibri" w:cs="Calibri" w:eastAsia="Calibri" w:hAnsi="Calibri"/>
          <w:b/>
          <w:bCs/>
          <w:caps w:val="false"/>
          <w:color w:val="1F4E79"/>
          <w:sz w:val="26"/>
          <w:szCs w:val="26"/>
        </w:rPr>
        <w:t xml:space="preserve">Document Conventions</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b w:val="function bold() { [native code] }"/>
          <w:bCs w:val="function bold() { [native code] }"/>
          <w:color w:val="1A1A1A"/>
          <w:sz w:val="22"/>
          <w:szCs w:val="22"/>
        </w:rPr>
        <w:t xml:space="preserve">Throughout this document, the symbol '§' (section sign) refers to specific </w:t>
      </w:r>
    </w:p>
    <w:p>
      <w:pPr>
        <w:spacing w:after="0" w:before="30"/>
      </w:pPr>
    </w:p>
    <w:p>
      <w:pPr>
        <w:spacing w:after="0" w:before="40"/>
      </w:pPr>
    </w:p>
    <w:p>
      <w:pPr>
        <w:pStyle w:val="Heading1"/>
        <w:spacing w:after="30" w:before="0"/>
      </w:pPr>
      <w:r>
        <w:rPr>
          <w:rFonts w:ascii="Calibri" w:cs="Calibri" w:eastAsia="Calibri" w:hAnsi="Calibri"/>
          <w:b/>
          <w:bCs/>
          <w:caps w:val="false"/>
          <w:color w:val="1F4E79"/>
          <w:sz w:val="26"/>
          <w:szCs w:val="26"/>
        </w:rPr>
        <w:t xml:space="preserve">Note on Sources</w:t>
      </w:r>
    </w:p>
    <w:p>
      <w:pPr>
        <w:pBdr>
          <w:bottom w:val="single" w:color="2E75B6" w:sz="6" w:space="1"/>
        </w:pBdr>
        <w:spacing w:after="0" w:before="0"/>
      </w:pPr>
    </w:p>
    <w:p>
      <w:pPr>
        <w:spacing w:after="0" w:before="20"/>
      </w:pPr>
    </w:p>
    <w:p>
      <w:pPr>
        <w:spacing w:after="40" w:before="20" w:line="252" w:lineRule="auto"/>
        <w:jc w:val="both"/>
      </w:pPr>
      <w:r>
        <w:rPr>
          <w:rFonts w:ascii="Calibri" w:cs="Calibri" w:eastAsia="Calibri" w:hAnsi="Calibri"/>
          <w:b w:val="false"/>
          <w:bCs w:val="false"/>
          <w:color w:val="1A1A1A"/>
          <w:sz w:val="22"/>
          <w:szCs w:val="22"/>
        </w:rPr>
        <w:t xml:space="preserve">All information in this Method Statement has been extracted from the CPWD Prescriptive Specifications document using an NLP-based retrieval pipeline (parser v3 + embed_and_store v4, retrieve_and_generate v6).  Where specification text was insufficient, this has been explicitly noted within the relevant section.</w:t>
      </w:r>
    </w:p>
    <w:p>
      <w:pPr>
        <w:spacing w:after="0" w:before="30"/>
      </w:pPr>
    </w:p>
    <w:p>
      <w:pPr>
        <w:pBdr>
          <w:bottom w:val="single" w:color="BDD7EE" w:sz="4" w:space="1"/>
        </w:pBdr>
        <w:spacing w:after="0" w:before="0"/>
      </w:pPr>
    </w:p>
    <w:p>
      <w:pPr>
        <w:spacing w:after="0" w:before="20"/>
      </w:pPr>
    </w:p>
    <w:p>
      <w:pPr>
        <w:spacing w:after="0" w:before="0"/>
      </w:pPr>
      <w:r>
        <w:rPr>
          <w:rFonts w:ascii="Calibri" w:cs="Calibri" w:eastAsia="Calibri" w:hAnsi="Calibri"/>
          <w:b/>
          <w:bCs/>
          <w:color w:val="595959"/>
          <w:sz w:val="20"/>
          <w:szCs w:val="20"/>
        </w:rPr>
        <w:t xml:space="preserve">Pipeline parameters:</w:t>
      </w:r>
    </w:p>
    <w:p>
      <w:pPr>
        <w:spacing w:after="30" w:before="20" w:line="252" w:lineRule="auto"/>
      </w:pPr>
      <w:r>
        <w:rPr>
          <w:rFonts w:ascii="Calibri" w:cs="Calibri" w:eastAsia="Calibri" w:hAnsi="Calibri"/>
          <w:b/>
          <w:bCs/>
          <w:color w:val="1F4E79"/>
          <w:sz w:val="22"/>
          <w:szCs w:val="22"/>
        </w:rPr>
        <w:t xml:space="preserve">Embedding model</w:t>
      </w:r>
      <w:r>
        <w:rPr>
          <w:rFonts w:ascii="Calibri" w:cs="Calibri" w:eastAsia="Calibri" w:hAnsi="Calibri"/>
          <w:color w:val="1A1A1A"/>
          <w:sz w:val="22"/>
          <w:szCs w:val="22"/>
        </w:rPr>
        <w:t xml:space="preserve">  —  all-MiniLM-L12-v2</w:t>
      </w:r>
    </w:p>
    <w:p>
      <w:pPr>
        <w:spacing w:after="30" w:before="20" w:line="252" w:lineRule="auto"/>
      </w:pPr>
      <w:r>
        <w:rPr>
          <w:rFonts w:ascii="Calibri" w:cs="Calibri" w:eastAsia="Calibri" w:hAnsi="Calibri"/>
          <w:b/>
          <w:bCs/>
          <w:color w:val="1F4E79"/>
          <w:sz w:val="22"/>
          <w:szCs w:val="22"/>
        </w:rPr>
        <w:t xml:space="preserve">LLM</w:t>
      </w:r>
      <w:r>
        <w:rPr>
          <w:rFonts w:ascii="Calibri" w:cs="Calibri" w:eastAsia="Calibri" w:hAnsi="Calibri"/>
          <w:color w:val="1A1A1A"/>
          <w:sz w:val="22"/>
          <w:szCs w:val="22"/>
        </w:rPr>
        <w:t xml:space="preserve">  —  llama-3.3-70b-versatile (Groq)</w:t>
      </w:r>
    </w:p>
    <w:p>
      <w:pPr>
        <w:spacing w:after="30" w:before="20" w:line="252" w:lineRule="auto"/>
      </w:pPr>
      <w:r>
        <w:rPr>
          <w:rFonts w:ascii="Calibri" w:cs="Calibri" w:eastAsia="Calibri" w:hAnsi="Calibri"/>
          <w:b/>
          <w:bCs/>
          <w:color w:val="1F4E79"/>
          <w:sz w:val="22"/>
          <w:szCs w:val="22"/>
        </w:rPr>
        <w:t xml:space="preserve">BERT eval model</w:t>
      </w:r>
      <w:r>
        <w:rPr>
          <w:rFonts w:ascii="Calibri" w:cs="Calibri" w:eastAsia="Calibri" w:hAnsi="Calibri"/>
          <w:color w:val="1A1A1A"/>
          <w:sz w:val="22"/>
          <w:szCs w:val="22"/>
        </w:rPr>
        <w:t xml:space="preserve">  —  roberta-large (rescaled baseline)</w:t>
      </w:r>
    </w:p>
    <w:p>
      <w:pPr>
        <w:spacing w:after="30" w:before="20" w:line="252" w:lineRule="auto"/>
      </w:pPr>
      <w:r>
        <w:rPr>
          <w:rFonts w:ascii="Calibri" w:cs="Calibri" w:eastAsia="Calibri" w:hAnsi="Calibri"/>
          <w:b/>
          <w:bCs/>
          <w:color w:val="1F4E79"/>
          <w:sz w:val="22"/>
          <w:szCs w:val="22"/>
        </w:rPr>
        <w:t xml:space="preserve">Retrieval depth</w:t>
      </w:r>
      <w:r>
        <w:rPr>
          <w:rFonts w:ascii="Calibri" w:cs="Calibri" w:eastAsia="Calibri" w:hAnsi="Calibri"/>
          <w:color w:val="1A1A1A"/>
          <w:sz w:val="22"/>
          <w:szCs w:val="22"/>
        </w:rPr>
        <w:t xml:space="preserve">  —  20 chunks / section (cross-encoder reranked)</w:t>
      </w:r>
    </w:p>
    <w:p>
      <w:pPr>
        <w:spacing w:after="30" w:before="20" w:line="252" w:lineRule="auto"/>
      </w:pPr>
      <w:r>
        <w:rPr>
          <w:rFonts w:ascii="Calibri" w:cs="Calibri" w:eastAsia="Calibri" w:hAnsi="Calibri"/>
          <w:b/>
          <w:bCs/>
          <w:color w:val="1F4E79"/>
          <w:sz w:val="22"/>
          <w:szCs w:val="22"/>
        </w:rPr>
        <w:t xml:space="preserve">Context window</w:t>
      </w:r>
      <w:r>
        <w:rPr>
          <w:rFonts w:ascii="Calibri" w:cs="Calibri" w:eastAsia="Calibri" w:hAnsi="Calibri"/>
          <w:color w:val="1A1A1A"/>
          <w:sz w:val="22"/>
          <w:szCs w:val="22"/>
        </w:rPr>
        <w:t xml:space="preserve">  —  20 000 characters</w:t>
      </w:r>
    </w:p>
    <w:p>
      <w:pPr>
        <w:spacing w:after="30" w:before="20" w:line="252" w:lineRule="auto"/>
      </w:pPr>
      <w:r>
        <w:rPr>
          <w:rFonts w:ascii="Calibri" w:cs="Calibri" w:eastAsia="Calibri" w:hAnsi="Calibri"/>
          <w:b/>
          <w:bCs/>
          <w:color w:val="1F4E79"/>
          <w:sz w:val="22"/>
          <w:szCs w:val="22"/>
        </w:rPr>
        <w:t xml:space="preserve">Temperature</w:t>
      </w:r>
      <w:r>
        <w:rPr>
          <w:rFonts w:ascii="Calibri" w:cs="Calibri" w:eastAsia="Calibri" w:hAnsi="Calibri"/>
          <w:color w:val="1A1A1A"/>
          <w:sz w:val="22"/>
          <w:szCs w:val="22"/>
        </w:rPr>
        <w:t xml:space="preserve">  —  0.1</w:t>
      </w:r>
    </w:p>
    <w:sectPr>
      <w:headerReference w:type="default" r:id="rId7"/>
      <w:footerReference w:type="default" r:id="rId8"/>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7EE" w:sz="4" w:space="1"/>
      </w:pBdr>
      <w:tabs>
        <w:tab w:val="right" w:pos="9026"/>
      </w:tabs>
      <w:spacing w:after="0" w:before="80"/>
    </w:pPr>
    <w:r>
      <w:rPr>
        <w:rFonts w:ascii="Calibri" w:cs="Calibri" w:eastAsia="Calibri" w:hAnsi="Calibri"/>
        <w:color w:val="595959"/>
        <w:sz w:val="18"/>
        <w:szCs w:val="18"/>
      </w:rPr>
      <w:t xml:space="preserve">CPWD Specifications — Confidential</w:t>
    </w:r>
    <w:r>
      <w:rPr>
        <w:rFonts w:ascii="Calibri" w:cs="Calibri" w:eastAsia="Calibri" w:hAnsi="Calibri"/>
      </w:rPr>
      <w:t xml:space="preserve">	</w:t>
    </w: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80" w:before="0"/>
    </w:pPr>
    <w:r>
      <w:rPr>
        <w:rFonts w:ascii="Calibri" w:cs="Calibri" w:eastAsia="Calibri" w:hAnsi="Calibri"/>
        <w:b/>
        <w:bCs/>
        <w:color w:val="1F4E79"/>
        <w:sz w:val="18"/>
        <w:szCs w:val="18"/>
      </w:rPr>
      <w:t xml:space="preserve">METHOD STATEMENT — RCC Works</w:t>
    </w:r>
    <w:r>
      <w:rPr>
        <w:rFonts w:ascii="Calibri" w:cs="Calibri" w:eastAsia="Calibri" w:hAnsi="Calibri"/>
      </w:rPr>
      <w:t xml:space="preserve">	</w:t>
    </w:r>
    <w:r>
      <w:rPr>
        <w:rFonts w:ascii="Calibri" w:cs="Calibri" w:eastAsia="Calibri" w:hAnsi="Calibri"/>
        <w:color w:val="595959"/>
        <w:sz w:val="18"/>
        <w:szCs w:val="18"/>
      </w:rPr>
      <w:t xml:space="preserve">Prepared by: Musketeers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 w:before="100"/>
      <w:outlineLvl w:val="0"/>
    </w:pPr>
    <w:rPr>
      <w:rFonts w:ascii="Calibri" w:cs="Calibri" w:eastAsia="Calibri" w:hAnsi="Calibri"/>
      <w:b/>
      <w:bCs/>
      <w:color w:val="1F4E79"/>
      <w:sz w:val="26"/>
      <w:szCs w:val="26"/>
    </w:rPr>
  </w:style>
  <w:style w:type="paragraph" w:styleId="Heading2">
    <w:name w:val="Heading 2"/>
    <w:basedOn w:val="Normal"/>
    <w:next w:val="Normal"/>
    <w:qFormat/>
    <w:pPr>
      <w:spacing w:after="20" w:before="60"/>
      <w:outlineLvl w:val="1"/>
    </w:pPr>
    <w:rPr>
      <w:rFonts w:ascii="Calibri" w:cs="Calibri" w:eastAsia="Calibri" w:hAnsi="Calibri"/>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2026-05-01T10:41:06.238Z</dcterms:created>
  <dcterms:modified xsi:type="dcterms:W3CDTF">2026-05-01T10:41:06.238Z</dcterms:modified>
</cp:coreProperties>
</file>

<file path=docProps/custom.xml><?xml version="1.0" encoding="utf-8"?>
<Properties xmlns="http://schemas.openxmlformats.org/officeDocument/2006/custom-properties" xmlns:vt="http://schemas.openxmlformats.org/officeDocument/2006/docPropsVTypes"/>
</file>