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METHOD STATEMENT</w:t>
      </w:r>
    </w:p>
    <w:p>
      <w:pPr>
        <w:pStyle w:val="Heading2"/>
        <w:jc w:val="center"/>
      </w:pPr>
      <w:r>
        <w:t>Reinforced Cement Concrete (RCC) Works</w:t>
      </w:r>
    </w:p>
    <w:p/>
    <w:p>
      <w:pPr>
        <w:jc w:val="center"/>
      </w:pPr>
      <w:r>
        <w:rPr>
          <w:b/>
        </w:rPr>
        <w:t>Prepared by: Team Name / Unstop ID</w:t>
        <w:br/>
      </w:r>
      <w:r>
        <w:t>Date: 29 April 2026</w:t>
        <w:br/>
      </w:r>
      <w:r>
        <w:t>Document Reference: Based on CPWD Prescriptive Specifications</w:t>
        <w:br/>
      </w:r>
    </w:p>
    <w:p>
      <w:r>
        <w:br w:type="page"/>
      </w:r>
    </w:p>
    <w:p>
      <w:pPr>
        <w:pStyle w:val="Heading1"/>
      </w:pPr>
      <w:r>
        <w:t>1. Purpose of the Method Statement</w:t>
      </w:r>
    </w:p>
    <w:p>
      <w:r>
        <w:rPr>
          <w:sz w:val="22"/>
        </w:rPr>
        <w:t>This Method Statement defines the procedures for executing Reinforced Cement Concrete (RCC) works, ensuring adherence to the project specifications and relevant codes. It covers the requirements for concrete mix proportion, production, and quality assurance for general structural elements, mandating a minimum M-25 grade concrete per §5.1.2.1. Furthermore, it details the specific manufacturing and installation processes for precast reinforced concrete door and window frames, which utilize M-40 grade concrete and particular reinforcement as outlined in §5.6A, thereby ensuring the quality and durability of all RCC components.</w:t>
      </w:r>
    </w:p>
    <w:p/>
    <w:p>
      <w:pPr>
        <w:pStyle w:val="Heading1"/>
      </w:pPr>
      <w:r>
        <w:t>2. Scope of the Method Statement</w:t>
      </w:r>
    </w:p>
    <w:p>
      <w:r>
        <w:rPr>
          <w:sz w:val="22"/>
        </w:rPr>
        <w:t>This Method Statement primarily covers Reinforced Cement Concrete (RCC) work as defined under Sub Head 5.0, specifically focusing on Factory Made Precast Reinforced Concrete Door and Window Frames (§5.6A.1.1). These frames shall be manufactured from M 40 grade reinforced cement concrete (§5.6A.1.1, §5.6A.1.3, §5.6A.2.1.3).</w:t>
      </w:r>
    </w:p>
    <w:p>
      <w:r>
        <w:rPr>
          <w:sz w:val="22"/>
        </w:rPr>
        <w:t>The scope also includes associated components such as Cement Concrete Blocks of nominal mix 1:3:6 for embedding holdfasts (§5.6A.1.5), High Strength Polymer Blocks for securing hinges and other hardware (§5.6A.1.6, §5.6A.4), Mild Steel Galvanised Sleeves &amp; Bolts (§5.6A.1.7, §5.6A.4), and Hinges (§5.6A.1.8, §5.6A.3). The work encompasses the entire process from manufacture and material compliance to finishing and fixing of these precast units in plumb and plane within the structure (§5.6.7, §5.6A.6).</w:t>
      </w:r>
    </w:p>
    <w:p/>
    <w:p>
      <w:pPr>
        <w:pStyle w:val="Heading1"/>
      </w:pPr>
      <w:r>
        <w:t>3. Acronyms and Definitions</w:t>
      </w:r>
    </w:p>
    <w:p>
      <w:r>
        <w:rPr>
          <w:sz w:val="22"/>
        </w:rPr>
        <w:t>**Acronyms and Technical Terms:**</w:t>
      </w:r>
    </w:p>
    <w:p>
      <w:pPr>
        <w:pStyle w:val="ListBullet"/>
      </w:pPr>
      <w:r>
        <w:rPr>
          <w:sz w:val="22"/>
        </w:rPr>
        <w:t>PPC** – Portland Pozzolana Cement manufactured conforming to IS 1489 (Part-I), treated at par with OPC for design mix concrete in RCC for structural use (per §5.1.2.3).</w:t>
      </w:r>
    </w:p>
    <w:p>
      <w:pPr>
        <w:pStyle w:val="ListBullet"/>
      </w:pPr>
      <w:r>
        <w:rPr>
          <w:sz w:val="22"/>
        </w:rPr>
        <w:t>RCC** – Reinforced Cement Concrete (per §5.1.2.3).</w:t>
      </w:r>
    </w:p>
    <w:p>
      <w:pPr>
        <w:pStyle w:val="ListBullet"/>
      </w:pPr>
      <w:r>
        <w:rPr>
          <w:sz w:val="22"/>
        </w:rPr>
        <w:t>Compacting Factor** – A measurement of workability, suggested for 'very low' workability concrete with a value of 0.75 to 0.80 (per §4.2.2.2).</w:t>
      </w:r>
    </w:p>
    <w:p>
      <w:pPr>
        <w:pStyle w:val="ListBullet"/>
      </w:pPr>
      <w:r>
        <w:rPr>
          <w:sz w:val="22"/>
        </w:rPr>
        <w:t>Liquid Admixtures** – Admixtures introduced into concrete as liquids, including categories such as Air Entraining, Water Reducing, Water Reducing Retarders, Retarders, Water Reducing Accelerators, and Accelerators (per §4.1.2.2).</w:t>
      </w:r>
    </w:p>
    <w:p>
      <w:pPr>
        <w:pStyle w:val="ListBullet"/>
      </w:pPr>
      <w:r>
        <w:rPr>
          <w:sz w:val="22"/>
        </w:rPr>
        <w:t>Slump** – Not explicitly defined in the specification.</w:t>
      </w:r>
    </w:p>
    <w:p>
      <w:pPr>
        <w:pStyle w:val="ListBullet"/>
      </w:pPr>
      <w:r>
        <w:rPr>
          <w:sz w:val="22"/>
        </w:rPr>
        <w:t>Workability** – Not explicitly defined in the specification.</w:t>
      </w:r>
    </w:p>
    <w:p>
      <w:pPr>
        <w:pStyle w:val="ListBullet"/>
      </w:pPr>
      <w:r>
        <w:rPr>
          <w:sz w:val="22"/>
        </w:rPr>
        <w:t>Consistency** – Not explicitly defined in the specification.</w:t>
      </w:r>
    </w:p>
    <w:p>
      <w:pPr>
        <w:pStyle w:val="ListBullet"/>
      </w:pPr>
      <w:r>
        <w:rPr>
          <w:sz w:val="22"/>
        </w:rPr>
        <w:t>Cement factor** – Not explicitly defined in the specification.</w:t>
      </w:r>
    </w:p>
    <w:p>
      <w:pPr>
        <w:pStyle w:val="ListBullet"/>
      </w:pPr>
      <w:r>
        <w:rPr>
          <w:sz w:val="22"/>
        </w:rPr>
        <w:t>BIS** – Not explicitly defined in the specification.</w:t>
      </w:r>
    </w:p>
    <w:p>
      <w:pPr>
        <w:pStyle w:val="ListBullet"/>
      </w:pPr>
      <w:r>
        <w:rPr>
          <w:sz w:val="22"/>
        </w:rPr>
        <w:t>OPC** – Not explicitly defined in the specification.</w:t>
      </w:r>
    </w:p>
    <w:p/>
    <w:p>
      <w:pPr>
        <w:pStyle w:val="Heading1"/>
      </w:pPr>
      <w:r>
        <w:t>4. Reference Documents</w:t>
      </w:r>
    </w:p>
    <w:p>
      <w:pPr>
        <w:pStyle w:val="ListNumber"/>
      </w:pPr>
      <w:r>
        <w:rPr>
          <w:sz w:val="22"/>
        </w:rPr>
        <w:t>IS 456- 2000 Code of Practice for Plain and Reinforced Concrete (as amended up to date) (per §5.1.2.1 (i), §4.2.1 Note 2, §5.8.6.2)</w:t>
      </w:r>
    </w:p>
    <w:p>
      <w:pPr>
        <w:pStyle w:val="ListNumber"/>
      </w:pPr>
      <w:r>
        <w:rPr>
          <w:sz w:val="22"/>
        </w:rPr>
        <w:t>IS 9103 (for chloride free chemical admixtures) (per §5.1.2.1 (iv), §4.1.2)</w:t>
      </w:r>
    </w:p>
    <w:p>
      <w:pPr>
        <w:pStyle w:val="ListNumber"/>
      </w:pPr>
      <w:r>
        <w:rPr>
          <w:sz w:val="22"/>
        </w:rPr>
        <w:t>IS 1489 (Part-I) (for PPC) (per §5.1.2.3 (i))</w:t>
      </w:r>
    </w:p>
    <w:p/>
    <w:p>
      <w:pPr>
        <w:pStyle w:val="Heading1"/>
      </w:pPr>
      <w:r>
        <w:t>5. Procedure for Concreting</w:t>
      </w:r>
    </w:p>
    <w:p>
      <w:r>
        <w:rPr>
          <w:sz w:val="22"/>
        </w:rPr>
        <w:t>**(a) Formwork**</w:t>
      </w:r>
    </w:p>
    <w:p>
      <w:r>
        <w:rPr>
          <w:sz w:val="22"/>
        </w:rPr>
        <w:t>Not explicitly stated in the specification.</w:t>
      </w:r>
    </w:p>
    <w:p>
      <w:r>
        <w:rPr>
          <w:sz w:val="22"/>
        </w:rPr>
        <w:t>**(b) Reinforcement**</w:t>
      </w:r>
    </w:p>
    <w:p>
      <w:r>
        <w:rPr>
          <w:sz w:val="22"/>
        </w:rPr>
        <w:t>Concrete shall be thoroughly compacted and completely worked around the reinforcement, embedded fixtures, and into corners of the form (§9). Specific details on reinforcement placement, tying, or cover are not explicitly stated in the specification.</w:t>
      </w:r>
    </w:p>
    <w:p>
      <w:r>
        <w:rPr>
          <w:sz w:val="22"/>
        </w:rPr>
        <w:t>**(c) Mix Design / Batching**</w:t>
      </w:r>
    </w:p>
    <w:p>
      <w:pPr>
        <w:pStyle w:val="ListNumber"/>
      </w:pPr>
      <w:r>
        <w:rPr>
          <w:sz w:val="22"/>
        </w:rPr>
        <w:t>Concrete mix proportioning shall preferably be 'Design mix concrete' (§2). For grades M20 or lower, 'Nominal mix concrete' may be used with Engineer-in-Charge's permission, which may involve higher cement content (§2).</w:t>
      </w:r>
    </w:p>
    <w:p>
      <w:pPr>
        <w:pStyle w:val="ListNumber"/>
      </w:pPr>
      <w:r>
        <w:rPr>
          <w:sz w:val="22"/>
        </w:rPr>
        <w:t>Determination of cement, aggregate, and water proportions shall be based on the design of the mix (§8).</w:t>
      </w:r>
    </w:p>
    <w:p>
      <w:pPr>
        <w:pStyle w:val="ListNumber"/>
      </w:pPr>
      <w:r>
        <w:rPr>
          <w:sz w:val="22"/>
        </w:rPr>
        <w:t>Proportioning shall be carried out by mass for all materials, except water and admixtures which may be measured by volume (§5.9.2.1).</w:t>
      </w:r>
    </w:p>
    <w:p>
      <w:pPr>
        <w:pStyle w:val="ListNumber"/>
      </w:pPr>
      <w:r>
        <w:rPr>
          <w:sz w:val="22"/>
        </w:rPr>
        <w:t>The manufacturer/producer/contractor shall consider the moisture content in aggregates (§7).</w:t>
      </w:r>
    </w:p>
    <w:p>
      <w:pPr>
        <w:pStyle w:val="ListNumber"/>
      </w:pPr>
      <w:r>
        <w:rPr>
          <w:sz w:val="22"/>
        </w:rPr>
        <w:t>The mix shall be designed to restrict the maximum free water-cement ratio to less than 0.5 (§7).</w:t>
      </w:r>
    </w:p>
    <w:p>
      <w:pPr>
        <w:pStyle w:val="ListNumber"/>
      </w:pPr>
      <w:r>
        <w:rPr>
          <w:sz w:val="22"/>
        </w:rPr>
        <w:t>Ready-mixed concrete supplied shall generally comply with IS 456 and meet agreed quality and quantity requirements (§5.9.2.1). Invoicing is in cubic metres of compacted fresh concrete (§5.9.2.1).</w:t>
      </w:r>
    </w:p>
    <w:p>
      <w:r>
        <w:rPr>
          <w:sz w:val="22"/>
        </w:rPr>
        <w:t>**(d) Mixing**</w:t>
      </w:r>
    </w:p>
    <w:p>
      <w:pPr>
        <w:pStyle w:val="ListNumber"/>
      </w:pPr>
      <w:r>
        <w:rPr>
          <w:sz w:val="22"/>
        </w:rPr>
        <w:t>Concrete shall be mixed in mechanical batch type concrete mixers conforming to IS 1791, with two blades and power loader. Half bag mixers and mixers without lifting hoppers are prohibited (§6).</w:t>
      </w:r>
    </w:p>
    <w:p>
      <w:pPr>
        <w:pStyle w:val="ListNumber"/>
      </w:pPr>
      <w:r>
        <w:rPr>
          <w:sz w:val="22"/>
        </w:rPr>
        <w:t>Prior to mixing, any water retained in the mixing drum for washing purposes shall be completely discharged (§4(i)).</w:t>
      </w:r>
    </w:p>
    <w:p>
      <w:pPr>
        <w:pStyle w:val="ListNumber"/>
      </w:pPr>
      <w:r>
        <w:rPr>
          <w:sz w:val="22"/>
        </w:rPr>
        <w:t>Brick aggregate shall be well soaked with water for a minimum of two hours, and stone aggregate or gravel shall be washed to remove dirt, dust, and foreign materials (§6).</w:t>
      </w:r>
    </w:p>
    <w:p>
      <w:pPr>
        <w:pStyle w:val="ListNumber"/>
      </w:pPr>
      <w:r>
        <w:rPr>
          <w:sz w:val="22"/>
        </w:rPr>
        <w:t>Stationary or Central Mixers:</w:t>
      </w:r>
    </w:p>
    <w:p>
      <w:pPr>
        <w:pStyle w:val="ListBullet"/>
      </w:pPr>
      <w:r>
        <w:rPr>
          <w:sz w:val="22"/>
        </w:rPr>
        <w:t>Mixers shall not be loaded in excess of the manufacturer’s rated capacity (§4(ii)).</w:t>
      </w:r>
    </w:p>
    <w:p>
      <w:pPr>
        <w:pStyle w:val="ListBullet"/>
      </w:pPr>
      <w:r>
        <w:rPr>
          <w:sz w:val="22"/>
        </w:rPr>
        <w:t>Mixing time shall be measured from when all materials, including water, are in the drum, and shall not be less than the manufacturer’s recommendation (§4(ii)).</w:t>
      </w:r>
    </w:p>
    <w:p>
      <w:pPr>
        <w:pStyle w:val="ListBullet"/>
      </w:pPr>
      <w:r>
        <w:rPr>
          <w:sz w:val="22"/>
        </w:rPr>
        <w:t>For continuous mixing plants, total mixing time must ensure required concrete uniformity (§4(ii)).</w:t>
      </w:r>
    </w:p>
    <w:p>
      <w:pPr>
        <w:pStyle w:val="ListNumber"/>
      </w:pPr>
      <w:r>
        <w:rPr>
          <w:sz w:val="22"/>
        </w:rPr>
        <w:t>Truck Mixers:</w:t>
      </w:r>
    </w:p>
    <w:p>
      <w:pPr>
        <w:pStyle w:val="ListBullet"/>
      </w:pPr>
      <w:r>
        <w:rPr>
          <w:sz w:val="22"/>
        </w:rPr>
        <w:t>Mixing commences when all materials, including water, are in the rotating drum (§4(iii)).</w:t>
      </w:r>
    </w:p>
    <w:p>
      <w:pPr>
        <w:pStyle w:val="ListBullet"/>
      </w:pPr>
      <w:r>
        <w:rPr>
          <w:sz w:val="22"/>
        </w:rPr>
        <w:t>Truck mixers shall not be loaded beyond the manufacturer’s rated capacity (§4(iii)).</w:t>
      </w:r>
    </w:p>
    <w:p>
      <w:pPr>
        <w:pStyle w:val="ListBullet"/>
      </w:pPr>
      <w:r>
        <w:rPr>
          <w:sz w:val="22"/>
        </w:rPr>
        <w:t>Mixing shall continue for not less than 60 revolutions at a rate of not less than 7 revolutions/min, unless other data establishes different periods and speeds (§4(iii)).</w:t>
      </w:r>
    </w:p>
    <w:p>
      <w:pPr>
        <w:pStyle w:val="ListBullet"/>
      </w:pPr>
      <w:r>
        <w:rPr>
          <w:sz w:val="22"/>
        </w:rPr>
        <w:t>Completely truck mixed concrete shall be visually inspected for uniformity before leaving the plant (§4(iii)).</w:t>
      </w:r>
    </w:p>
    <w:p>
      <w:pPr>
        <w:pStyle w:val="ListBullet"/>
      </w:pPr>
      <w:r>
        <w:rPr>
          <w:sz w:val="22"/>
        </w:rPr>
        <w:t>If concrete is pre-mixed and transported by truck mixer/agitator, it shall be agitated during transit and remixed at site for at least 2 minutes to ensure uniformity (§4(iii)).</w:t>
      </w:r>
    </w:p>
    <w:p>
      <w:pPr>
        <w:pStyle w:val="ListBullet"/>
      </w:pPr>
      <w:r>
        <w:rPr>
          <w:sz w:val="22"/>
        </w:rPr>
        <w:t>If water is added in a truck mixer and accounted for in the mix, the water meter must be operational and calibrated. If no meter, water must be measured in a suitable container (§4(iii)).</w:t>
      </w:r>
    </w:p>
    <w:p>
      <w:pPr>
        <w:pStyle w:val="ListNumber"/>
      </w:pPr>
      <w:r>
        <w:rPr>
          <w:sz w:val="22"/>
        </w:rPr>
        <w:t>Mixer Condition: Stationary and truck mixers shall be maintained in an efficient and clean condition, free of hardened concrete or cement build-up (§4(iv)).</w:t>
      </w:r>
    </w:p>
    <w:p>
      <w:pPr>
        <w:pStyle w:val="ListNumber"/>
      </w:pPr>
      <w:r>
        <w:rPr>
          <w:sz w:val="22"/>
        </w:rPr>
        <w:t>Mixing Efficiency: Mixer shall be tested per IS 4643. Percentage variation between quantities (mass in water) of cement, fine aggregate, and coarse aggregate in two halves of a batch and average of the two halves shall not exceed: Cement 8%, Fine aggregate 6%, Coarse aggregate 5% (§3).</w:t>
      </w:r>
    </w:p>
    <w:p>
      <w:pPr>
        <w:pStyle w:val="ListNumber"/>
      </w:pPr>
      <w:r>
        <w:rPr>
          <w:sz w:val="22"/>
        </w:rPr>
        <w:t>Hand Mixing: May be permitted in exceptional circumstances (e.g., mechanical breakdown, remote areas, small quantity) with specific prior written permission from the Engineer-in-Charge, subject to adding 10% extra cement. Hand mixing shall be on a watertight platform until uniform in color and consistency. Guidance mixing time is 1.5 to 2 minutes; 2.5 to 3 minutes for hydrophobic cement (§6).</w:t>
      </w:r>
    </w:p>
    <w:p>
      <w:r>
        <w:rPr>
          <w:sz w:val="22"/>
        </w:rPr>
        <w:t>**(e) Transportation &amp; Placing**</w:t>
      </w:r>
    </w:p>
    <w:p>
      <w:pPr>
        <w:pStyle w:val="ListNumber"/>
      </w:pPr>
      <w:r>
        <w:rPr>
          <w:sz w:val="22"/>
        </w:rPr>
        <w:t>Ready-mixed concrete shall be transported from the mixer to the point of placing as rapidly as practicable by methods that maintain workability and prevent segregation, loss of constituents, or ingress of foreign matter/water (§5.9.2.2).</w:t>
      </w:r>
    </w:p>
    <w:p>
      <w:pPr>
        <w:pStyle w:val="ListNumber"/>
      </w:pPr>
      <w:r>
        <w:rPr>
          <w:sz w:val="22"/>
        </w:rPr>
        <w:t>Concrete shall be placed as soon as possible after delivery, as close as practicable to its final position to avoid re-handling or horizontal movement by vibration (§5.9.2.2).</w:t>
      </w:r>
    </w:p>
    <w:p>
      <w:pPr>
        <w:pStyle w:val="ListNumber"/>
      </w:pPr>
      <w:r>
        <w:rPr>
          <w:sz w:val="22"/>
        </w:rPr>
        <w:t>The purchaser should plan to discharge a full load of concrete within 30 minutes of arrival on site (§5.9.2.2).</w:t>
      </w:r>
    </w:p>
    <w:p>
      <w:pPr>
        <w:pStyle w:val="ListNumber"/>
      </w:pPr>
      <w:r>
        <w:rPr>
          <w:sz w:val="22"/>
        </w:rPr>
        <w:t>Transport shall be in a truck-mixer unless non-agitating vehicles are agreed upon by the purchaser. If non-agitating vehicles are used, concrete must be protected from gain or loss of water (§5.9.2.2).</w:t>
      </w:r>
    </w:p>
    <w:p>
      <w:pPr>
        <w:pStyle w:val="ListNumber"/>
      </w:pPr>
      <w:r>
        <w:rPr>
          <w:sz w:val="22"/>
        </w:rPr>
        <w:t>Admixtures may be utilized by the producer to slow workability loss, but this does not negate the purchaser's responsibility for rapid placement (§5.9.2.2).</w:t>
      </w:r>
    </w:p>
    <w:p>
      <w:r>
        <w:rPr>
          <w:sz w:val="22"/>
        </w:rPr>
        <w:t>**(f) Compaction**</w:t>
      </w:r>
    </w:p>
    <w:p>
      <w:pPr>
        <w:pStyle w:val="ListNumber"/>
      </w:pPr>
      <w:r>
        <w:rPr>
          <w:sz w:val="22"/>
        </w:rPr>
        <w:t>Concrete shall be compacted into a dense mass immediately after placing using mechanical vibrators designed for continuous operation, complying with IS 2505, IS 2506, IS 2514, and IS 4656 (§9).</w:t>
      </w:r>
    </w:p>
    <w:p>
      <w:pPr>
        <w:pStyle w:val="ListNumber"/>
      </w:pPr>
      <w:r>
        <w:rPr>
          <w:sz w:val="22"/>
        </w:rPr>
        <w:t>The Engineer-in-Charge may permit hand compaction for certain items, depending on thickness and feasibility. Hand compaction shall be done with tamping rods to thoroughly compact concrete around reinforcement, embedded fixtures, and into corners (§9).</w:t>
      </w:r>
    </w:p>
    <w:p>
      <w:pPr>
        <w:pStyle w:val="ListNumber"/>
      </w:pPr>
      <w:r>
        <w:rPr>
          <w:sz w:val="22"/>
        </w:rPr>
        <w:t>Layers of concrete shall be placed such that the bottom layer does not finally set before the top layer is placed (§9).</w:t>
      </w:r>
    </w:p>
    <w:p>
      <w:pPr>
        <w:pStyle w:val="ListNumber"/>
      </w:pPr>
      <w:r>
        <w:rPr>
          <w:sz w:val="22"/>
        </w:rPr>
        <w:t>Vibrators shall maintain the concrete under treatment in an adequate state of agitation to achieve de-aeration and effective compaction at a rate commensurate with concrete supply (§9).</w:t>
      </w:r>
    </w:p>
    <w:p>
      <w:pPr>
        <w:pStyle w:val="ListNumber"/>
      </w:pPr>
      <w:r>
        <w:rPr>
          <w:sz w:val="22"/>
        </w:rPr>
        <w:t>Vibration shall continue throughout concrete placing, with vibrators adjusted so the center of vibrations approximates the center of the mass being compacted (§9).</w:t>
      </w:r>
    </w:p>
    <w:p>
      <w:r>
        <w:rPr>
          <w:sz w:val="22"/>
        </w:rPr>
        <w:t>**(g) Finishing**</w:t>
      </w:r>
    </w:p>
    <w:p>
      <w:r>
        <w:rPr>
          <w:sz w:val="22"/>
        </w:rPr>
        <w:t>Not explicitly stated in the specification.</w:t>
      </w:r>
    </w:p>
    <w:p>
      <w:r>
        <w:rPr>
          <w:sz w:val="22"/>
        </w:rPr>
        <w:t>**(h) Curing**</w:t>
      </w:r>
    </w:p>
    <w:p>
      <w:pPr>
        <w:pStyle w:val="ListNumber"/>
      </w:pPr>
      <w:r>
        <w:rPr>
          <w:sz w:val="22"/>
        </w:rPr>
        <w:t>Curing is the process of preventing moisture loss from the concrete (§10).</w:t>
      </w:r>
    </w:p>
    <w:p>
      <w:pPr>
        <w:pStyle w:val="ListNumber"/>
      </w:pPr>
      <w:r>
        <w:rPr>
          <w:sz w:val="22"/>
        </w:rPr>
        <w:t>Specific methods and duration for curing are not explicitly stated in the specification (§10).</w:t>
      </w:r>
    </w:p>
    <w:p/>
    <w:p>
      <w:pPr>
        <w:pStyle w:val="Heading1"/>
      </w:pPr>
      <w:r>
        <w:t>6. Equipment Used</w:t>
      </w:r>
    </w:p>
    <w:p>
      <w:pPr>
        <w:pStyle w:val="ListBullet"/>
      </w:pPr>
      <w:r>
        <w:rPr>
          <w:sz w:val="22"/>
        </w:rPr>
        <w:t>Stationary/Central Mixers:** For mixing concrete batches to specified uniformity, adhering to manufacturer's capacity and mixing time (per §5.9.6.4).</w:t>
      </w:r>
    </w:p>
    <w:p>
      <w:pPr>
        <w:pStyle w:val="ListBullet"/>
      </w:pPr>
      <w:r>
        <w:rPr>
          <w:sz w:val="22"/>
        </w:rPr>
        <w:t>Truck Mixers/Agitators:** For partial or complete mixing of concrete, or for transporting and agitating pre-mixed concrete during transit (per §5.9.6.4, §5.9.2.3).</w:t>
      </w:r>
    </w:p>
    <w:p>
      <w:pPr>
        <w:pStyle w:val="ListBullet"/>
      </w:pPr>
      <w:r>
        <w:rPr>
          <w:sz w:val="22"/>
        </w:rPr>
        <w:t>Mechanical Batch Type Concrete Mixers:** Conforming to IS 1791, with two blades and power loader, for machine mixing (per §4.2.5, §4.2.5.3).</w:t>
      </w:r>
    </w:p>
    <w:p>
      <w:pPr>
        <w:pStyle w:val="ListBullet"/>
      </w:pPr>
      <w:r>
        <w:rPr>
          <w:sz w:val="22"/>
        </w:rPr>
        <w:t>Truck Mixer Water Meter:** For measuring water added to concrete in a truck mixer, requiring calibration (per §5.9.6.4).</w:t>
      </w:r>
    </w:p>
    <w:p>
      <w:pPr>
        <w:pStyle w:val="ListBullet"/>
      </w:pPr>
      <w:r>
        <w:rPr>
          <w:sz w:val="22"/>
        </w:rPr>
        <w:t>Suitable Container:** For measuring water when a truck mixer water meter is unavailable (per §5.9.6.4).</w:t>
      </w:r>
    </w:p>
    <w:p>
      <w:pPr>
        <w:pStyle w:val="ListBullet"/>
      </w:pPr>
      <w:r>
        <w:rPr>
          <w:sz w:val="22"/>
        </w:rPr>
        <w:t>Mechanical Vibrators (including Internal/Needle, External, and Vibrating Tables):** For compacting concrete into a dense mass, conforming to IS 2505, IS 2506, IS 2514, and IS 4656 (per §5.4.3.1, §5.4.3.2, §4.2.7).</w:t>
      </w:r>
    </w:p>
    <w:p>
      <w:pPr>
        <w:pStyle w:val="ListBullet"/>
      </w:pPr>
      <w:r>
        <w:rPr>
          <w:sz w:val="22"/>
        </w:rPr>
        <w:t>Tamping Rods:** For hand compaction of concrete, especially around reinforcement and into corners (per §5.4.3.1).</w:t>
      </w:r>
    </w:p>
    <w:p>
      <w:pPr>
        <w:pStyle w:val="ListBullet"/>
      </w:pPr>
      <w:r>
        <w:rPr>
          <w:sz w:val="22"/>
        </w:rPr>
        <w:t>Wooden Trowel:** For finishing the top surface of compacted concrete smoothly before setting (per §4.2.7).</w:t>
      </w:r>
    </w:p>
    <w:p>
      <w:pPr>
        <w:pStyle w:val="ListBullet"/>
      </w:pPr>
      <w:r>
        <w:rPr>
          <w:sz w:val="22"/>
        </w:rPr>
        <w:t>Formwork (Centring &amp; Shuttering):** Designed to support fresh concrete, reinforcement, and live loads during construction (per §5.2, §5.2.3.4).</w:t>
      </w:r>
    </w:p>
    <w:p>
      <w:pPr>
        <w:pStyle w:val="ListBullet"/>
      </w:pPr>
      <w:r>
        <w:rPr>
          <w:sz w:val="22"/>
        </w:rPr>
        <w:t>Props:** To support formwork, particularly for multi-stage arrangements exceeding 3.50 meters height (per §5.2.3.4).</w:t>
      </w:r>
    </w:p>
    <w:p>
      <w:pPr>
        <w:pStyle w:val="ListBullet"/>
      </w:pPr>
      <w:r>
        <w:rPr>
          <w:sz w:val="22"/>
        </w:rPr>
        <w:t>Squeeze Pressure Pumps:** For pumping concrete, incorporating a hopper, re-mixing blades, flexible hose, and rollers within a vacuum drum (per §5.10.2.2).</w:t>
      </w:r>
    </w:p>
    <w:p/>
    <w:p>
      <w:pPr>
        <w:pStyle w:val="Heading1"/>
      </w:pPr>
      <w:r>
        <w:t>7. Key People Involved</w:t>
      </w:r>
    </w:p>
    <w:p>
      <w:pPr>
        <w:pStyle w:val="ListBullet"/>
      </w:pPr>
      <w:r>
        <w:rPr>
          <w:sz w:val="22"/>
        </w:rPr>
        <w:t>Engineer-in-Charge**: Finalizes the frequency and number of tests for freshly mixed concrete in consultation with the manufacturer of concrete (per §5.11.4.4). May, at their discretion, require further tests on fresh concrete (per §5.11.4.4).</w:t>
      </w:r>
    </w:p>
    <w:p>
      <w:pPr>
        <w:pStyle w:val="ListBullet"/>
      </w:pPr>
      <w:r>
        <w:rPr>
          <w:sz w:val="22"/>
        </w:rPr>
        <w:t>Manufacturer of concrete**: Finalizes the frequency and number of tests for freshly mixed concrete in consultation with the Engineer-in-Charge (per §5.11.4.4). Shall comply with all requirements for further tests specified by the Engineer-in-Charge (per §5.11.4.4).</w:t>
      </w:r>
    </w:p>
    <w:p>
      <w:pPr>
        <w:pStyle w:val="ListBullet"/>
      </w:pPr>
      <w:r>
        <w:rPr>
          <w:sz w:val="22"/>
        </w:rPr>
        <w:t>Batch plant laboratory**: Conducts tests for every type of freshly mixed concrete, for each batch, to determine weight per cubic metre, cement factor, and air content (per §5.11.4.4).</w:t>
      </w:r>
    </w:p>
    <w:p>
      <w:pPr>
        <w:pStyle w:val="ListBullet"/>
      </w:pPr>
      <w:r>
        <w:rPr>
          <w:sz w:val="22"/>
        </w:rPr>
        <w:t>Placement contractor**: Shall comply with all requirements for further tests on fresh concrete as specified by the Engineer-in-Charge (per §5.11.4.4).</w:t>
      </w:r>
    </w:p>
    <w:p>
      <w:pPr>
        <w:pStyle w:val="ListBullet"/>
      </w:pPr>
      <w:r>
        <w:rPr>
          <w:sz w:val="22"/>
        </w:rPr>
        <w:t>Producer**: Shall have a procedure in place to enable the diagnosis and correction of faults identified from complaints (per §5.9.7.6).</w:t>
      </w:r>
    </w:p>
    <w:p/>
    <w:p>
      <w:pPr>
        <w:pStyle w:val="Heading1"/>
      </w:pPr>
      <w:r>
        <w:t>8. Quality Control and Testing</w:t>
      </w:r>
    </w:p>
    <w:p>
      <w:r>
        <w:rPr>
          <w:sz w:val="22"/>
        </w:rPr>
        <w:t>Quality control for hardened concrete follows IS 456 and IS 516 (§5.11.5(i)). Samples for cube crushing strength are collected from the central batch plant (guideline tests) and placement locations (field test specimens, serving as criterion for acceptance) (§5.11.5(i)(a), (b)). For truck mix, samples exclude the first and last 15% of the load (§5.11.5(i)(c)). Sampling frequency for 7-day and 28-day crushing strength tests, requiring a minimum of 3 cubes per sample, is as per Table 5.8 (not explicitly stated in the specification) (§5.11.5(i)(d), (f)). Preliminary 7-day and 28-day tests, six specimens each, are conducted in the laboratory for design mix finalization (§5.11.5(i)(g)).</w:t>
      </w:r>
    </w:p>
    <w:p>
      <w:r>
        <w:rPr>
          <w:sz w:val="22"/>
        </w:rPr>
        <w:t>For 7-day tests, a sample's average strength is accepted if individual specimen variation is within ±15% and the max-min difference within 30% of the average; otherwise, 28-day tests are mandated (§5.4.10.3). Concrete is accepted if the actual average strength is equal to or higher than specified strength up to +15% (§5.4.10.3); 7-day results are for projection only, not specification conformance (§5.11.5(i)(f)).</w:t>
      </w:r>
    </w:p>
    <w:p>
      <w:r>
        <w:rPr>
          <w:sz w:val="22"/>
        </w:rPr>
        <w:t>For 28-day tests, a sample's average is accepted if individual cube strength is between 70% and 130% of the specified strength (§5.4.10.4(a)). Concrete is accepted at full rates if the actual average strength is equal to or higher than specified up to 30% (§5.4.10.4(c)). Reduced rates may apply if strength is below specified but ≥ 70% (Engineer-in-Charge (E-i-C) discretion) (§5.4.10.4(d)). Strength &lt; 70% results in rejection and contractor-borne remedial work (§5.4.10.4(e)). Field specimen results must also meet Table 5.6 values (not explicitly stated in the specification) (§5.11.5(i)(e)).</w:t>
      </w:r>
    </w:p>
    <w:p>
      <w:r>
        <w:rPr>
          <w:sz w:val="22"/>
        </w:rPr>
        <w:t>The E-i-C may order non-destructive tests (NDT) such as Rebound hammer, Core test (per IS 516, IS:1199), or Load test, if crushing values are deficient or placement is doubtful (§5.11.5(ii)(a), (c), (d)). All field laboratory tests require the presence of the E-i-C's authorized representative and joint signing of reports (§5.11.5(ii)(f)). The contractor bears all testing costs and must establish and staff a field laboratory (§5.11.5(ii)(e), (h)).</w:t>
      </w:r>
    </w:p>
    <w:p/>
    <w:p>
      <w:pPr>
        <w:pStyle w:val="Heading1"/>
      </w:pPr>
      <w:r>
        <w:t>9. Health, Safety &amp; Environment (HSE) Considerations</w:t>
      </w:r>
    </w:p>
    <w:p>
      <w:r>
        <w:rPr>
          <w:sz w:val="22"/>
        </w:rPr>
        <w:t>The specification includes one measure related to environmental protection during concrete works:</w:t>
      </w:r>
    </w:p>
    <w:p>
      <w:r>
        <w:rPr>
          <w:sz w:val="22"/>
        </w:rPr>
        <w:t>Freshly laid concrete shall be protected from rain by suitable covering (per §4.2.10.3).</w:t>
      </w:r>
    </w:p>
    <w:p>
      <w:r>
        <w:rPr>
          <w:sz w:val="22"/>
        </w:rPr>
        <w:t>Other general Health and Safety measures for personnel, or broader site environmental management protocols (e.g., pollution control, waste management), are not explicitly stated in the provided specification excerpts. The classification of environmental exposure conditions (per §4.2.14.1.1) and corresponding concrete cover requirements (per §5.3.3.5, §5.3.5) relate to the design for durability, not operational HSE measures.</w:t>
      </w:r>
    </w:p>
    <w:p/>
    <w:p>
      <w:pPr>
        <w:pStyle w:val="Heading1"/>
      </w:pPr>
      <w:r>
        <w:t>10. Other Relevant Information</w:t>
      </w:r>
    </w:p>
    <w:p>
      <w:r>
        <w:rPr>
          <w:sz w:val="22"/>
        </w:rPr>
        <w:t>Concreting shall not be undertaken when the temperature falls below 4.5°C (§5.4.2.5, §4.2.9.1). During cold weather, concrete placed must be protected against frost by suitable covering (§5.4.2.5). Procedures for hot and cold weather concreting shall follow IS 7861 (Part–I)-1975 and IS 7861 (Part II)-1981 respectively (§4.2.9.1). During hot weather, the temperature of wet concrete shall not exceed 38°C (§4.2.9.1, §5.4.2.6). No concrete shall be laid within half an hour of the day's closing time, unless approved by the Engineer-in-Charge (§5.4.2.6).</w:t>
      </w:r>
    </w:p>
    <w:p>
      <w:r>
        <w:rPr>
          <w:sz w:val="22"/>
        </w:rPr>
        <w:t>Concrete is liable to be rejected if porous or honey-combed, if placing was interrupted without a proper construction joint, if reinforcement is displaced beyond tolerances, or if construction tolerances are not met (§5.8.3.6). Concrete damaged by frost shall be removed and redone (§5.4.2.5). Hardened concrete may be accepted following suitable remedial measures to the Engineer-in-Charge's satisfaction (§5.8.3.6). If concrete is deemed non-compliant per §5.8.3, the structural adequacy of affected parts shall be investigated, and consequential action taken (§5.8.3.4). Material substitutions or proportion alterations are not permitted without additional tests demonstrating satisfactory quality and strength (§4.2.4.6). Admixtures require testing per IS 9103 and approval by the Engineer-in-Charge (§4.1.2.9).</w:t>
      </w:r>
    </w:p>
    <w:p/>
    <w:p>
      <w:pPr>
        <w:pStyle w:val="Heading2"/>
      </w:pPr>
      <w:r>
        <w:t>Note on Sources</w:t>
      </w:r>
    </w:p>
    <w:p>
      <w:r>
        <w:t>All information in this Method Statement has been extracted from the CPWD Prescriptive Specifications document using an NLP-based retrieval pipeline.  Where specification text was insufficient, this has been explicitly noted.  No external sources were used unless stated otherwise.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