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METHOD STATEMENT</w:t>
      </w:r>
    </w:p>
    <w:p>
      <w:pPr>
        <w:pStyle w:val="Heading2"/>
        <w:jc w:val="center"/>
      </w:pPr>
      <w:r>
        <w:t>Reinforced Cement Concrete (RCC) Works</w:t>
      </w:r>
    </w:p>
    <w:p/>
    <w:p>
      <w:pPr>
        <w:jc w:val="center"/>
      </w:pPr>
      <w:r>
        <w:rPr>
          <w:b/>
        </w:rPr>
        <w:t>Prepared by: Team Name / Unstop ID</w:t>
        <w:br/>
      </w:r>
      <w:r>
        <w:t>Date: 28 April 2026</w:t>
        <w:br/>
      </w:r>
      <w:r>
        <w:t>Document Reference: Based on CPWD Prescriptive Specifications</w:t>
        <w:br/>
      </w:r>
    </w:p>
    <w:p>
      <w:r>
        <w:br w:type="page"/>
      </w:r>
    </w:p>
    <w:p>
      <w:pPr>
        <w:pStyle w:val="Heading1"/>
      </w:pPr>
      <w:r>
        <w:t>1. Purpose of the Method Statement</w:t>
      </w:r>
    </w:p>
    <w:p>
      <w:r>
        <w:rPr>
          <w:sz w:val="22"/>
        </w:rPr>
        <w:t>This Method Statement outlines the procedures and quality control measures for the execution of Reinforced Cement Concrete (RCC) works, as defined in Section 5.0 of the project specifications. Its purpose is to ensure all activities related to concrete mix design and production (per §5.1.2.1(i)), the use of specified cement types (per §5.1.2.0), minimum concrete grades (per §5.1.2.1(ii)), water/binder ratio control, curing durations (per §5.1.2.1(vi)), and reinforcement requirements including welding (per §5.1.3.4) conform to the stipulated standards and codes. This ensures the structural integrity and durability of the RCC elements.</w:t>
      </w:r>
    </w:p>
    <w:p/>
    <w:p>
      <w:pPr>
        <w:pStyle w:val="Heading1"/>
      </w:pPr>
      <w:r>
        <w:t>2. Scope of the Method Statement</w:t>
      </w:r>
    </w:p>
    <w:p>
      <w:r>
        <w:rPr>
          <w:sz w:val="22"/>
        </w:rPr>
        <w:t>This Method Statement covers Reinforced Cement Concrete (RCC) work, generally described in Section 5.0. The structural elements covered include columns, beams, and slabs, specifically roof slabs (per §5.4.4.2, §5.4.3.3). Construction joints for columns shall be horizontal, positioned 10 to 15 cm below the bottom of the beam running into the column head, with the portion of the column between the stepping off level and the top of the slab concreted with the beam (per §5.4.4.2). Roof slab top surfaces shall be finished even and smooth with a wooden trowel before the concrete begins to set (per §5.4.3.3). Specific project locations for the RCC work are not explicitly stated in the specification. The grade of concrete required for these works is not explicitly stated in the specification.</w:t>
      </w:r>
    </w:p>
    <w:p/>
    <w:p>
      <w:pPr>
        <w:pStyle w:val="Heading1"/>
      </w:pPr>
      <w:r>
        <w:t>3. Acronyms and Definitions</w:t>
      </w:r>
    </w:p>
    <w:p>
      <w:r>
        <w:rPr>
          <w:sz w:val="22"/>
        </w:rPr>
        <w:t>**Acronyms and Technical Terms**</w:t>
      </w:r>
    </w:p>
    <w:p>
      <w:pPr>
        <w:pStyle w:val="ListBullet"/>
      </w:pPr>
      <w:r>
        <w:rPr>
          <w:sz w:val="22"/>
        </w:rPr>
        <w:t>RCC WORK** – Reinforced Cement Concrete Work (per §5.9.7.4).</w:t>
      </w:r>
    </w:p>
    <w:p>
      <w:pPr>
        <w:pStyle w:val="ListBullet"/>
      </w:pPr>
      <w:r>
        <w:rPr>
          <w:sz w:val="22"/>
        </w:rPr>
        <w:t>RCC** – Not explicitly stated in the specification.</w:t>
      </w:r>
    </w:p>
    <w:p>
      <w:pPr>
        <w:pStyle w:val="ListBullet"/>
      </w:pPr>
      <w:r>
        <w:rPr>
          <w:sz w:val="22"/>
        </w:rPr>
        <w:t>IS** – Not explicitly stated in the specification.</w:t>
      </w:r>
    </w:p>
    <w:p>
      <w:pPr>
        <w:pStyle w:val="ListBullet"/>
      </w:pPr>
      <w:r>
        <w:rPr>
          <w:sz w:val="22"/>
        </w:rPr>
        <w:t>BIS** – Not explicitly stated in the specification (per §5.1.2.3).</w:t>
      </w:r>
    </w:p>
    <w:p>
      <w:pPr>
        <w:pStyle w:val="ListBullet"/>
      </w:pPr>
      <w:r>
        <w:rPr>
          <w:sz w:val="22"/>
        </w:rPr>
        <w:t>PPC** – Not explicitly stated in the specification (per §5.1.2.3).</w:t>
      </w:r>
    </w:p>
    <w:p>
      <w:pPr>
        <w:pStyle w:val="ListBullet"/>
      </w:pPr>
      <w:r>
        <w:rPr>
          <w:sz w:val="22"/>
        </w:rPr>
        <w:t>Liquid Admixtures** – Admixtures introduced into concrete as liquids, categorised as Air Entraining, Water Reducing, Water Reducing Retarders, Retarders, Water Reducing Accelerators, and Accelerators (per §4.1.2.2).</w:t>
      </w:r>
    </w:p>
    <w:p>
      <w:pPr>
        <w:pStyle w:val="ListBullet"/>
      </w:pPr>
      <w:r>
        <w:rPr>
          <w:sz w:val="22"/>
        </w:rPr>
        <w:t>Workability** – Concrete characteristic tested upon discharge, with specified acceptance limits for Slump and Compacting Factor (per §5.9.3.2). For 'very low' workability, measurement by compacting factor is appropriate (per §4.2.2.2).</w:t>
      </w:r>
    </w:p>
    <w:p>
      <w:pPr>
        <w:pStyle w:val="ListBullet"/>
      </w:pPr>
      <w:r>
        <w:rPr>
          <w:sz w:val="22"/>
        </w:rPr>
        <w:t>Slump** – A test for workability of fresh concrete (per §5.11.4, §5.9.3.2). Acceptance limits are ± 25 mm or 1/3 of the specified value, whichever is less (per §5.9.3.2).</w:t>
      </w:r>
    </w:p>
    <w:p>
      <w:pPr>
        <w:pStyle w:val="ListBullet"/>
      </w:pPr>
      <w:r>
        <w:rPr>
          <w:sz w:val="22"/>
        </w:rPr>
        <w:t>Compacting Factor** – A test for workability of fresh concrete (per §5.11.4, §5.9.3.2). Acceptance limits are ± 0.03 (value ≥ 0.90), ± 0.04 (value &lt; 0.90 but &gt; 0.80), or ± 0.05 (value ≤ 0.80) (per §5.9.3.2).</w:t>
      </w:r>
    </w:p>
    <w:p>
      <w:pPr>
        <w:pStyle w:val="ListBullet"/>
      </w:pPr>
      <w:r>
        <w:rPr>
          <w:sz w:val="22"/>
        </w:rPr>
        <w:t>Design Mixes** – Mixes controlled for strength per IS 456, based on random tests and continuous analysis of results (per §5.9.7.4).</w:t>
      </w:r>
    </w:p>
    <w:p>
      <w:pPr>
        <w:pStyle w:val="ListBullet"/>
      </w:pPr>
      <w:r>
        <w:rPr>
          <w:sz w:val="22"/>
        </w:rPr>
        <w:t>Prescribed Mixes** – Mixes checked for cementitious material contents compliance with mix descriptions (per §5.9.7.4).</w:t>
      </w:r>
    </w:p>
    <w:p>
      <w:pPr>
        <w:pStyle w:val="ListBullet"/>
      </w:pPr>
      <w:r>
        <w:rPr>
          <w:sz w:val="22"/>
        </w:rPr>
        <w:t>Flow table test** – May be specified for concrete of very high workability (per §5.9.3.2).</w:t>
      </w:r>
    </w:p>
    <w:p>
      <w:pPr>
        <w:pStyle w:val="ListBullet"/>
      </w:pPr>
      <w:r>
        <w:rPr>
          <w:sz w:val="22"/>
        </w:rPr>
        <w:t>Compressive strength testing** – Performed using a machine meeting IS 14858 requirements (per §5.9.7.4).</w:t>
      </w:r>
    </w:p>
    <w:p>
      <w:pPr>
        <w:pStyle w:val="ListBullet"/>
      </w:pPr>
      <w:r>
        <w:rPr>
          <w:sz w:val="22"/>
        </w:rPr>
        <w:t>Fresh concrete** – Concrete tested for Slump, Compacting Factor/Workability, Consistency, Weight per cubic metre, cement factor, and air content (per §5.11.4).</w:t>
      </w:r>
    </w:p>
    <w:p>
      <w:pPr>
        <w:pStyle w:val="ListBullet"/>
      </w:pPr>
      <w:r>
        <w:rPr>
          <w:sz w:val="22"/>
        </w:rPr>
        <w:t>Compaction** – Not explicitly stated in the specification (per §5.4.3).</w:t>
      </w:r>
    </w:p>
    <w:p>
      <w:pPr>
        <w:pStyle w:val="ListBullet"/>
      </w:pPr>
      <w:r>
        <w:rPr>
          <w:sz w:val="22"/>
        </w:rPr>
        <w:t>Concrete** – Not explicitly stated in the specification (per §5.4.0).</w:t>
      </w:r>
    </w:p>
    <w:p>
      <w:pPr>
        <w:pStyle w:val="ListBullet"/>
      </w:pPr>
      <w:r>
        <w:rPr>
          <w:sz w:val="22"/>
        </w:rPr>
        <w:t>Water, cement, fine and coarse aggregate** – Not explicitly stated in the specification (per §5.1.1).</w:t>
      </w:r>
    </w:p>
    <w:p>
      <w:pPr>
        <w:pStyle w:val="ListBullet"/>
      </w:pPr>
      <w:r>
        <w:rPr>
          <w:sz w:val="22"/>
        </w:rPr>
        <w:t>Testing of Concrete** – Not explicitly stated in the specification (per §4.2.11).</w:t>
      </w:r>
    </w:p>
    <w:p>
      <w:pPr>
        <w:pStyle w:val="ListBullet"/>
      </w:pPr>
      <w:r>
        <w:rPr>
          <w:sz w:val="22"/>
        </w:rPr>
        <w:t>Pavement quality concrete** – Not explicitly stated in the specification (per §4.2.2.2).</w:t>
      </w:r>
    </w:p>
    <w:p>
      <w:pPr>
        <w:pStyle w:val="ListBullet"/>
      </w:pPr>
      <w:r>
        <w:rPr>
          <w:sz w:val="22"/>
        </w:rPr>
        <w:t>Mix Performance** – Not explicitly stated in the specification (per §5.9.7.4).</w:t>
      </w:r>
    </w:p>
    <w:p>
      <w:pPr>
        <w:pStyle w:val="ListBullet"/>
      </w:pPr>
      <w:r>
        <w:rPr>
          <w:sz w:val="22"/>
        </w:rPr>
        <w:t>Consistency, Weight per cubic metre, cement factor, air content** – Not explicitly stated in the specification (per §5.11.4).</w:t>
      </w:r>
    </w:p>
    <w:p>
      <w:pPr>
        <w:pStyle w:val="ListBullet"/>
      </w:pPr>
      <w:r>
        <w:rPr>
          <w:sz w:val="22"/>
        </w:rPr>
        <w:t>Spread (flow)** – Not explicitly stated in the specification (per §5.9.3.2).</w:t>
      </w:r>
    </w:p>
    <w:p>
      <w:pPr>
        <w:pStyle w:val="ListBullet"/>
      </w:pPr>
      <w:r>
        <w:rPr>
          <w:sz w:val="22"/>
        </w:rPr>
        <w:t>Cementitious material contents** – Not explicitly stated in the specification (per §5.9.7.4).</w:t>
      </w:r>
    </w:p>
    <w:p>
      <w:pPr>
        <w:pStyle w:val="ListBullet"/>
      </w:pPr>
      <w:r>
        <w:rPr>
          <w:sz w:val="22"/>
        </w:rPr>
        <w:t>Cube tests** – Not explicitly stated in the specification (per §5.9.7.4).</w:t>
      </w:r>
    </w:p>
    <w:p>
      <w:pPr>
        <w:pStyle w:val="ListBullet"/>
      </w:pPr>
      <w:r>
        <w:rPr>
          <w:sz w:val="22"/>
        </w:rPr>
        <w:t>Fly Ash Blended Ce** – Not explicitly stated in the specification (per §5.1.2.3).</w:t>
      </w:r>
    </w:p>
    <w:p/>
    <w:p>
      <w:pPr>
        <w:pStyle w:val="Heading1"/>
      </w:pPr>
      <w:r>
        <w:t>4. Reference Documents</w:t>
      </w:r>
    </w:p>
    <w:p>
      <w:pPr>
        <w:pStyle w:val="ListNumber"/>
      </w:pPr>
      <w:r>
        <w:rPr>
          <w:sz w:val="22"/>
        </w:rPr>
        <w:t>IS 9103 (per §4.1.2, §4.1.2.9)</w:t>
      </w:r>
    </w:p>
    <w:p>
      <w:pPr>
        <w:pStyle w:val="ListNumber"/>
      </w:pPr>
      <w:r>
        <w:rPr>
          <w:sz w:val="22"/>
        </w:rPr>
        <w:t>IS 456- 2000 Code of Practice for Plain and Reinforced Concrete (per §5.1.2.1)</w:t>
      </w:r>
    </w:p>
    <w:p>
      <w:pPr>
        <w:pStyle w:val="ListNumber"/>
      </w:pPr>
      <w:r>
        <w:rPr>
          <w:sz w:val="22"/>
        </w:rPr>
        <w:t>BIS (Bureau of Indian Standards) (per §5.1.2.3)</w:t>
      </w:r>
    </w:p>
    <w:p/>
    <w:p>
      <w:pPr>
        <w:pStyle w:val="Heading1"/>
      </w:pPr>
      <w:r>
        <w:t>5. Procedure for Concreting</w:t>
      </w:r>
    </w:p>
    <w:p>
      <w:r>
        <w:rPr>
          <w:sz w:val="22"/>
        </w:rPr>
        <w:t>**(a) Formwork**</w:t>
      </w:r>
    </w:p>
    <w:p>
      <w:r>
        <w:rPr>
          <w:sz w:val="22"/>
        </w:rPr>
        <w:t>Not explicitly stated in the specification.</w:t>
      </w:r>
    </w:p>
    <w:p>
      <w:r>
        <w:rPr>
          <w:sz w:val="22"/>
        </w:rPr>
        <w:t>**(b) Reinforcement**</w:t>
      </w:r>
    </w:p>
    <w:p>
      <w:r>
        <w:rPr>
          <w:sz w:val="22"/>
        </w:rPr>
        <w:t>Not explicitly stated in the specification.</w:t>
      </w:r>
    </w:p>
    <w:p>
      <w:r>
        <w:rPr>
          <w:sz w:val="22"/>
        </w:rPr>
        <w:t>**(c) Mix Design / Batching**</w:t>
      </w:r>
    </w:p>
    <w:p>
      <w:pPr>
        <w:pStyle w:val="ListNumber"/>
      </w:pPr>
      <w:r>
        <w:rPr>
          <w:sz w:val="22"/>
        </w:rPr>
        <w:t>Concrete mix proportioning shall be carried out by mass, with water and admixture measured by volume (per §5.9.2.1).</w:t>
      </w:r>
    </w:p>
    <w:p>
      <w:pPr>
        <w:pStyle w:val="ListNumber"/>
      </w:pPr>
      <w:r>
        <w:rPr>
          <w:sz w:val="22"/>
        </w:rPr>
        <w:t>Consideration shall be given to the moisture content in aggregates, with the mix designed to restrict the maximum free water-cement ratio to less than 0.5 (per §5.8.5.1).</w:t>
      </w:r>
    </w:p>
    <w:p>
      <w:pPr>
        <w:pStyle w:val="ListNumber"/>
      </w:pPr>
      <w:r>
        <w:rPr>
          <w:sz w:val="22"/>
        </w:rPr>
        <w:t>Design mix concrete is preferred. Nominal mix concrete may be used for M20 or lower grades with specific prior permission from the Engineer-in-Charge, which may involve a higher cement content (per §4.2.3.1).</w:t>
      </w:r>
    </w:p>
    <w:p>
      <w:pPr>
        <w:pStyle w:val="ListNumber"/>
      </w:pPr>
      <w:r>
        <w:rPr>
          <w:sz w:val="22"/>
        </w:rPr>
        <w:t>Ready-mixed concrete shall be supplied having the quality and quantity as agreed with the purchaser and shall generally comply with requirements of IS 456 (per §5.9.2.1).</w:t>
      </w:r>
    </w:p>
    <w:p>
      <w:r>
        <w:rPr>
          <w:sz w:val="22"/>
        </w:rPr>
        <w:t>**(d) Mixing**</w:t>
      </w:r>
    </w:p>
    <w:p>
      <w:pPr>
        <w:pStyle w:val="ListNumber"/>
      </w:pPr>
      <w:r>
        <w:rPr>
          <w:sz w:val="22"/>
        </w:rPr>
        <w:t>**Mixer Requirements:**</w:t>
      </w:r>
    </w:p>
    <w:p>
      <w:pPr>
        <w:pStyle w:val="ListBullet"/>
      </w:pPr>
      <w:r>
        <w:rPr>
          <w:sz w:val="22"/>
        </w:rPr>
        <w:t>Concrete shall be mixed in mechanical batch type concrete mixers conforming to IS 1791, having two blades and fitted with a power loader (lifting hopper type). Half bag mixers and mixers without lifting hoppers shall not be used (per §4.2.5).</w:t>
      </w:r>
    </w:p>
    <w:p>
      <w:pPr>
        <w:pStyle w:val="ListBullet"/>
      </w:pPr>
      <w:r>
        <w:rPr>
          <w:sz w:val="22"/>
        </w:rPr>
        <w:t>Mixers shall be maintained in an efficient and clean condition with no appreciable build-up of hardened concrete or cement in the drum, on blades, or on loading/discharge chutes (per §5.9.6.4 (iv)).</w:t>
      </w:r>
    </w:p>
    <w:p>
      <w:pPr>
        <w:pStyle w:val="ListBullet"/>
      </w:pPr>
      <w:r>
        <w:rPr>
          <w:sz w:val="22"/>
        </w:rPr>
        <w:t>Prior to loading concrete materials or mixed concrete, any water retained in the mixing drum for washing out purposes shall be completely discharged (per §5.9.6.4 (i)).</w:t>
      </w:r>
    </w:p>
    <w:p>
      <w:pPr>
        <w:pStyle w:val="ListBullet"/>
      </w:pPr>
      <w:r>
        <w:rPr>
          <w:sz w:val="22"/>
        </w:rPr>
        <w:t>Mixers shall be tested under normal working conditions in accordance with IS 4643 to ensure uniformity. The percentage variation between quantities (mass in water) of cement, fine aggregate, and coarse aggregate in the two halves of a batch and the average shall not exceed 8% for cement, 6% for fine aggregate, and 5% for coarse aggregate (per §4.2.5.2).</w:t>
      </w:r>
    </w:p>
    <w:p>
      <w:pPr>
        <w:pStyle w:val="ListNumber"/>
      </w:pPr>
      <w:r>
        <w:rPr>
          <w:sz w:val="22"/>
        </w:rPr>
        <w:t>**Aggregate Preparation:**</w:t>
      </w:r>
    </w:p>
    <w:p>
      <w:pPr>
        <w:pStyle w:val="ListBullet"/>
      </w:pPr>
      <w:r>
        <w:rPr>
          <w:sz w:val="22"/>
        </w:rPr>
        <w:t>Brick aggregate shall be well soaked with water for a minimum period of two hours. Stone aggregate or gravel shall be washed with water to remove dirt, dust, and other foreign materials (per §4.2.5).</w:t>
      </w:r>
    </w:p>
    <w:p>
      <w:pPr>
        <w:pStyle w:val="ListNumber"/>
      </w:pPr>
      <w:r>
        <w:rPr>
          <w:sz w:val="22"/>
        </w:rPr>
        <w:t>**Mixing Procedure:**</w:t>
      </w:r>
    </w:p>
    <w:p>
      <w:pPr>
        <w:pStyle w:val="ListBullet"/>
      </w:pPr>
      <w:r>
        <w:rPr>
          <w:sz w:val="22"/>
        </w:rPr>
        <w:t>Stationary mixers shall not be loaded in excess of the manufacturer’s rated capacity. Mixing time, measured from when all materials (including water) are in the drum, shall not be less than that recommended by the manufacturer (per §5.9.6.4 (ii)).</w:t>
      </w:r>
    </w:p>
    <w:p>
      <w:pPr>
        <w:pStyle w:val="ListBullet"/>
      </w:pPr>
      <w:r>
        <w:rPr>
          <w:sz w:val="22"/>
        </w:rPr>
        <w:t>For guidance, the mixing time may be 1.5 to 2 minutes, or 2.5 to 3 minutes for hydrophobic cement (per §4.2.5).</w:t>
      </w:r>
    </w:p>
    <w:p>
      <w:pPr>
        <w:pStyle w:val="ListBullet"/>
      </w:pPr>
      <w:r>
        <w:rPr>
          <w:sz w:val="22"/>
        </w:rPr>
        <w:t>Truck mixers shall not be loaded in excess of the manufacturer’s rated capacity. If no data is available, mixing shall continue for not less than 60 revolutions of the truck mixer drum at a rate of not less than 7 revolutions/min. All completely truck-mixed concrete shall be visually inspected for uniformity prior to leaving the plant (per §5.9.6.4 (iii)).</w:t>
      </w:r>
    </w:p>
    <w:p>
      <w:pPr>
        <w:pStyle w:val="ListBullet"/>
      </w:pPr>
      <w:r>
        <w:rPr>
          <w:sz w:val="22"/>
        </w:rPr>
        <w:t>When pre-mixed concrete is transported in a truck mixer or agitator, the concrete shall be agitated during transit and remixed at the site for at least 2 minutes to ensure the required uniformity (per §5.9.6.4 (iii)).</w:t>
      </w:r>
    </w:p>
    <w:p>
      <w:pPr>
        <w:pStyle w:val="ListBullet"/>
      </w:pPr>
      <w:r>
        <w:rPr>
          <w:sz w:val="22"/>
        </w:rPr>
        <w:t>If water is added to the concrete in a truck mixer, it shall be ensured that the truck mixer water meter is operational and properly calibrated, or water must be measured in a suitable container (per §5.9.6.4 (iii)).</w:t>
      </w:r>
    </w:p>
    <w:p>
      <w:pPr>
        <w:pStyle w:val="ListNumber"/>
      </w:pPr>
      <w:r>
        <w:rPr>
          <w:sz w:val="22"/>
        </w:rPr>
        <w:t>**Hand Mixing:**</w:t>
      </w:r>
    </w:p>
    <w:p>
      <w:pPr>
        <w:pStyle w:val="ListBullet"/>
      </w:pPr>
      <w:r>
        <w:rPr>
          <w:sz w:val="22"/>
        </w:rPr>
        <w:t>Hand mixing may be done only in exceptional circumstances (e.g., mechanical breakdown, remote areas, or very small quantities) with the specific prior written permission of the Engineer-in-Charge. It requires adding 10% extra cement, being carried out on a watertight platform, and ensuring uniform color and consistency (per §4.2.5).</w:t>
      </w:r>
    </w:p>
    <w:p>
      <w:r>
        <w:rPr>
          <w:sz w:val="22"/>
        </w:rPr>
        <w:t>**(e) Transportation &amp; Placing**</w:t>
      </w:r>
    </w:p>
    <w:p>
      <w:pPr>
        <w:pStyle w:val="ListNumber"/>
      </w:pPr>
      <w:r>
        <w:rPr>
          <w:sz w:val="22"/>
        </w:rPr>
        <w:t>Concrete shall be transported from the mixer to the place of laying as rapidly as possible by methods which will prevent the segregation or loss of any of the ingredients and maintain the required workability (per §4.2.5.5).</w:t>
      </w:r>
    </w:p>
    <w:p>
      <w:pPr>
        <w:pStyle w:val="ListNumber"/>
      </w:pPr>
      <w:r>
        <w:rPr>
          <w:sz w:val="22"/>
        </w:rPr>
        <w:t>During hot or cold weather, concrete shall be transported in deep containers, or other suitable methods may be adopted to reduce water loss by evaporation in hot weather and heat loss in cold weather (per §4.2.5.5).</w:t>
      </w:r>
    </w:p>
    <w:p>
      <w:pPr>
        <w:pStyle w:val="ListNumber"/>
      </w:pPr>
      <w:r>
        <w:rPr>
          <w:sz w:val="22"/>
        </w:rPr>
        <w:t>The time between mixing and placing of concrete shall not exceed 30 minutes to prevent interference with the initial setting process (per §5.4.2.7).</w:t>
      </w:r>
    </w:p>
    <w:p>
      <w:pPr>
        <w:pStyle w:val="ListNumber"/>
      </w:pPr>
      <w:r>
        <w:rPr>
          <w:sz w:val="22"/>
        </w:rPr>
        <w:t>Ready-mixed concrete shall be transported in a truck-mixer unless the purchaser agrees to the use of non-agitating vehicles. When non-agitating vehicles are used, the mixed concrete shall be protected from gain or loss of water (per §5.9.2.2).</w:t>
      </w:r>
    </w:p>
    <w:p>
      <w:pPr>
        <w:pStyle w:val="ListNumber"/>
      </w:pPr>
      <w:r>
        <w:rPr>
          <w:sz w:val="22"/>
        </w:rPr>
        <w:t>The concrete shall be placed as soon as possible after delivery, as close as is practicable to its final position, to avoid re-handling or moving the concrete horizontally by vibration (per §5.9.2.2).</w:t>
      </w:r>
    </w:p>
    <w:p>
      <w:pPr>
        <w:pStyle w:val="ListNumber"/>
      </w:pPr>
      <w:r>
        <w:rPr>
          <w:sz w:val="22"/>
        </w:rPr>
        <w:t>The purchaser should plan arrangements to enable a full load of concrete to be discharged within 30 minutes of arrival on site (per §5.9.2.2).</w:t>
      </w:r>
    </w:p>
    <w:p>
      <w:r>
        <w:rPr>
          <w:sz w:val="22"/>
        </w:rPr>
        <w:t>**(f) Compaction**</w:t>
      </w:r>
    </w:p>
    <w:p>
      <w:r>
        <w:rPr>
          <w:sz w:val="22"/>
        </w:rPr>
        <w:t>Not explicitly stated in the specification.</w:t>
      </w:r>
    </w:p>
    <w:p>
      <w:r>
        <w:rPr>
          <w:sz w:val="22"/>
        </w:rPr>
        <w:t>**(g) Finishing**</w:t>
      </w:r>
    </w:p>
    <w:p>
      <w:r>
        <w:rPr>
          <w:sz w:val="22"/>
        </w:rPr>
        <w:t>Not explicitly stated in the specification.</w:t>
      </w:r>
    </w:p>
    <w:p>
      <w:r>
        <w:rPr>
          <w:sz w:val="22"/>
        </w:rPr>
        <w:t>**(h) Curing**</w:t>
      </w:r>
    </w:p>
    <w:p>
      <w:r>
        <w:rPr>
          <w:sz w:val="22"/>
        </w:rPr>
        <w:t>Not explicitly stated in the specification.</w:t>
      </w:r>
    </w:p>
    <w:p/>
    <w:p>
      <w:pPr>
        <w:pStyle w:val="Heading1"/>
      </w:pPr>
      <w:r>
        <w:t>6. Equipment Used</w:t>
      </w:r>
    </w:p>
    <w:p>
      <w:pPr>
        <w:pStyle w:val="ListBullet"/>
      </w:pPr>
      <w:r>
        <w:rPr>
          <w:sz w:val="22"/>
        </w:rPr>
        <w:t>Stationary mixers:** Used for mixing concrete. (§5.9.6.4)</w:t>
      </w:r>
    </w:p>
    <w:p>
      <w:pPr>
        <w:pStyle w:val="ListBullet"/>
      </w:pPr>
      <w:r>
        <w:rPr>
          <w:sz w:val="22"/>
        </w:rPr>
        <w:t>Mechanical batch type concrete mixers (conforming to IS 1791, with two blades and power loader (lifting hopper type)):** Used for mixing concrete. (§4.2.5)</w:t>
      </w:r>
    </w:p>
    <w:p>
      <w:pPr>
        <w:pStyle w:val="ListBullet"/>
      </w:pPr>
      <w:r>
        <w:rPr>
          <w:sz w:val="22"/>
        </w:rPr>
        <w:t>Truck mixers:** Used for partial or complete mixing of concrete, or for transporting agitated concrete. (§5.9.6.4)</w:t>
      </w:r>
    </w:p>
    <w:p>
      <w:pPr>
        <w:pStyle w:val="ListBullet"/>
      </w:pPr>
      <w:r>
        <w:rPr>
          <w:sz w:val="22"/>
        </w:rPr>
        <w:t>Agitators:** Used for transporting concrete. (§5.9.6.4)</w:t>
      </w:r>
    </w:p>
    <w:p>
      <w:pPr>
        <w:pStyle w:val="ListBullet"/>
      </w:pPr>
      <w:r>
        <w:rPr>
          <w:sz w:val="22"/>
        </w:rPr>
        <w:t>Truck mixer water meter:** Used for measuring water added to concrete in a truck mixer. (§5.9.6.4)</w:t>
      </w:r>
    </w:p>
    <w:p>
      <w:pPr>
        <w:pStyle w:val="ListBullet"/>
      </w:pPr>
      <w:r>
        <w:rPr>
          <w:sz w:val="22"/>
        </w:rPr>
        <w:t>Suitable container:** Used for measuring water when a truck mixer water meter is not available. (§5.9.6.4)</w:t>
      </w:r>
    </w:p>
    <w:p>
      <w:pPr>
        <w:pStyle w:val="ListBullet"/>
      </w:pPr>
      <w:r>
        <w:rPr>
          <w:sz w:val="22"/>
        </w:rPr>
        <w:t>Water tight platform:** Required for hand mixing of concrete. (§4.2.5)</w:t>
      </w:r>
    </w:p>
    <w:p>
      <w:pPr>
        <w:pStyle w:val="ListBullet"/>
      </w:pPr>
      <w:r>
        <w:rPr>
          <w:sz w:val="22"/>
        </w:rPr>
        <w:t>Squeeze pressure pumps:** Used for pumping concrete, consisting of a receiving hopper with re-mixing blades, flexible hose, metal drum, and hydraulically operated metal rollers. (§5.10.2.2)</w:t>
      </w:r>
    </w:p>
    <w:p>
      <w:pPr>
        <w:pStyle w:val="ListBullet"/>
      </w:pPr>
      <w:r>
        <w:rPr>
          <w:sz w:val="22"/>
        </w:rPr>
        <w:t>Mechanical vibrators (complying with IS 2505, IS 2506, IS 2514 and IS 4656):** Used for compacting concrete into a dense mass. (§5.4.3.1)</w:t>
      </w:r>
    </w:p>
    <w:p>
      <w:pPr>
        <w:pStyle w:val="ListBullet"/>
      </w:pPr>
      <w:r>
        <w:rPr>
          <w:sz w:val="22"/>
        </w:rPr>
        <w:t>Tamping rods:** Used for hand compaction of concrete. (§5.4.3.1)</w:t>
      </w:r>
    </w:p>
    <w:p/>
    <w:p>
      <w:pPr>
        <w:pStyle w:val="Heading1"/>
      </w:pPr>
      <w:r>
        <w:t>7. Key People Involved</w:t>
      </w:r>
    </w:p>
    <w:p>
      <w:pPr>
        <w:pStyle w:val="ListBullet"/>
      </w:pPr>
      <w:r>
        <w:rPr>
          <w:sz w:val="22"/>
        </w:rPr>
        <w:t>Producer (Manufacturer of Concrete)**: Responsible for establishing procedures for diagnosing and correcting faults from complaints (per §5.9.7.6). Exercises forward control including material quality/storage, mix design/modification, and demonstrating calibration procedures for weighing equipment, ensuring operational mixers (per §5.9.7.1). Manages immediate control, including systematic production control, inspection of each load before dispatch/discharge, continuous workability control with corrective action, record-keeping of batched materials, water added, slump, ticket number, and loading time (per §5.9.7.2). Randomly samples and tests concrete for workability, plastic density, temperature, and air content, taking corrective action as needed, and maintaining water-cement ratio (per §5.9.7.2). Maintains records for at least one year covering production/delivery, materials/production control, and quality control test results (per §5.9.9). Finalizes test frequencies for weight, cement factor, and air content in consultation with the Engineer-in-Charge, and complies with additional test requirements (per §5.11.4.4).</w:t>
      </w:r>
    </w:p>
    <w:p>
      <w:pPr>
        <w:pStyle w:val="ListBullet"/>
      </w:pPr>
      <w:r>
        <w:rPr>
          <w:sz w:val="22"/>
        </w:rPr>
        <w:t>Engineer-in-Charge**: Consults with the manufacturer to finalize frequency and number of tests for weight, cement factor, and air content. May require further tests on fresh concrete at their discretion (per §5.11.4.4).</w:t>
      </w:r>
    </w:p>
    <w:p>
      <w:pPr>
        <w:pStyle w:val="ListBullet"/>
      </w:pPr>
      <w:r>
        <w:rPr>
          <w:sz w:val="22"/>
        </w:rPr>
        <w:t>Placement Contractor**: Must comply with all additional testing requirements specified by the Engineer-in-Charge (per §5.11.4.4).</w:t>
      </w:r>
    </w:p>
    <w:p>
      <w:pPr>
        <w:pStyle w:val="ListBullet"/>
      </w:pPr>
      <w:r>
        <w:rPr>
          <w:sz w:val="22"/>
        </w:rPr>
        <w:t>Batch Plant Laboratory Personnel (Implied)**: Conduct tests in the batch plant laboratory for each batch of concrete produced to determine weight per cubic metre, cement factor, and air content of freshly mixed concrete (per §5.11.4.4).</w:t>
      </w:r>
    </w:p>
    <w:p/>
    <w:p>
      <w:pPr>
        <w:pStyle w:val="Heading1"/>
      </w:pPr>
      <w:r>
        <w:t>8. Quality Control and Testing</w:t>
      </w:r>
    </w:p>
    <w:p>
      <w:r>
        <w:rPr>
          <w:sz w:val="22"/>
        </w:rPr>
        <w:t>Quality control for RCC works mandates cube tests for compressive strength per §5.4.9.1. Sampling for cube crushing strength (IS 456, IS 516) occurs at the central batch plant and placement location. Field test specimens from placement are the criterion for concrete strength; batch plant samples are guidelines, referenced by the Engineer-in-Charge only in case of doubtful results (§5.11.5(i)b). For truck mix, samples omit the first and last 15% of the load at discharge (§5.11.5(i)c).</w:t>
      </w:r>
    </w:p>
    <w:p>
      <w:r>
        <w:rPr>
          <w:sz w:val="22"/>
        </w:rPr>
        <w:t>Sampling frequency for 28-day and 7-day tests (Table 5.8) is: 1 sample for less than 5 cum, 2 for 6-15 cum, 3 for 31-50 cum, and 4 plus one additional for each 50 cum or part thereof for 51 cum and above. Each sample yields a minimum of 3 specimen cubes (§5.11.5(i)d, f). Preliminary tests for design mix finalization, conducted at 7 and 28 days (six specimens each), must have average results not less than Table 5.5 values (§5.11.5(i)g).</w:t>
      </w:r>
    </w:p>
    <w:p>
      <w:r>
        <w:rPr>
          <w:sz w:val="22"/>
        </w:rPr>
        <w:t>Acceptance criteria require 28-day field specimen results to meet Table 5.6 values (§5.11.5(i)e). 7-day strengths conforming to Table 5.5 are guideline values only and not deemed conforming to specifications (§5.11.5(i)f).</w:t>
      </w:r>
    </w:p>
    <w:p>
      <w:r>
        <w:rPr>
          <w:sz w:val="22"/>
        </w:rPr>
        <w:t>If 28-day strengths are short or doubtful, the Engineer-in-Charge may order non-destructive tests: Rebound hammer, Windsor Penetration Probe, Pulse velocity, Core test (IS 516, IS 1199), or Load test (§5.11.5(ii)a, c, d). Interpretation of NDT results rests with the Engineer-in-Charge (§5.11.5(ii)b).</w:t>
      </w:r>
    </w:p>
    <w:p>
      <w:r>
        <w:rPr>
          <w:sz w:val="22"/>
        </w:rPr>
        <w:t>All test specimens must be properly labeled (§5.11.5(i)i). Field laboratory tests require qualified technicians and the presence of the Engineer-in-Charge's authorized representative; reports must be jointly signed (§5.11.5(ii)f). The Engineer-in-Charge determines test locations, and the concrete manufacturer/placement contractor is responsible for all test costs, equipment, and setting up a staffed laboratory (§5.11.5(ii)e, g, h).</w:t>
      </w:r>
    </w:p>
    <w:p/>
    <w:p>
      <w:pPr>
        <w:pStyle w:val="Heading1"/>
      </w:pPr>
      <w:r>
        <w:t>9. Health, Safety &amp; Environment (HSE) Considerations</w:t>
      </w:r>
    </w:p>
    <w:p>
      <w:r>
        <w:rPr>
          <w:sz w:val="22"/>
        </w:rPr>
        <w:t>Not explicitly stated in the specification. The provided excerpts detail protective measures for the concrete itself, such as protection from rain (per §4.2.10.3) and sulphate attack (per §4.2.14.1.3), but do not explicitly state measures pertaining to worker health, worker safety, or broader environmental protection from construction activities.</w:t>
      </w:r>
    </w:p>
    <w:p/>
    <w:p>
      <w:pPr>
        <w:pStyle w:val="Heading1"/>
      </w:pPr>
      <w:r>
        <w:t>10. Other Relevant Information</w:t>
      </w:r>
    </w:p>
    <w:p>
      <w:r>
        <w:rPr>
          <w:sz w:val="22"/>
        </w:rPr>
        <w:t>Materials and works shall conform to reference specifications and applicable codes (§5.12.1.2). Concrete mix, specified by constituent materials for required performance, demands essential mix proportion assessment for compliance (§5.9.4.3). A competent person reviews and formally records mix design specifications/orders (§5.9.8). Material substitutions or proportion alterations require additional quality tests unless permitted (§4.2.4.6). Admixtures conform to IS 9103 and are tested/approved by the Engineer-in-Charge (§4.1.2, §4.1.2.9).</w:t>
      </w:r>
    </w:p>
    <w:p>
      <w:r>
        <w:rPr>
          <w:sz w:val="22"/>
        </w:rPr>
        <w:t>Extreme weather concreting follows IS 7861 (Part–I)-1975 and (Part II)-1981 respectively (§4.2.9.1). Concreting below 4.5ºC is prohibited; placed concrete needs frost protection, with frost-damaged concrete removed/redone (§4.2.9.1, §5.4.2.5). Wet concrete temperature must not exceed 38ºC in hot weather (§4.2.9.1, §5.4.2.6). Transportation prevents segregation/loss of ingredients, maintains workability, and reduces water/heat loss in extreme weather (§4.2.5.5).</w:t>
      </w:r>
    </w:p>
    <w:p>
      <w:r>
        <w:rPr>
          <w:sz w:val="22"/>
        </w:rPr>
        <w:t>Concrete is liable for rejection if porous, honey-combed, placing interrupted without proper joint, reinforcement displaced, or construction tolerances unmet (§5.8.3.6). Defective hardened concrete may be accepted following Engineer-in-Charge approved remedial measures (§5.8.3.6). Non-compliant concrete requires structural adequacy investigation and consequential action (§5.8.3.4).</w:t>
      </w:r>
    </w:p>
    <w:p/>
    <w:p>
      <w:pPr>
        <w:pStyle w:val="Heading2"/>
      </w:pPr>
      <w:r>
        <w:t>Note on Sources</w:t>
      </w:r>
    </w:p>
    <w:p>
      <w:r>
        <w:t>All information in this Method Statement has been extracted from the CPWD Prescriptive Specifications document using an NLP-based retrieval pipeline.  Where specification text was insufficient, this has been explicitly noted.  No external sources were used unless stated otherwise.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