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METHOD STATEMENT</w:t>
      </w:r>
    </w:p>
    <w:p>
      <w:pPr>
        <w:pStyle w:val="Heading2"/>
        <w:jc w:val="center"/>
      </w:pPr>
      <w:r>
        <w:t>Reinforced Cement Concrete (RCC) Works</w:t>
      </w:r>
    </w:p>
    <w:p/>
    <w:p>
      <w:pPr>
        <w:jc w:val="center"/>
      </w:pPr>
      <w:r>
        <w:rPr>
          <w:b/>
        </w:rPr>
        <w:t>Prepared by: Team Name / Unstop ID</w:t>
        <w:br/>
      </w:r>
      <w:r>
        <w:t>Date: 28 April 2026</w:t>
        <w:br/>
      </w:r>
      <w:r>
        <w:t>Document Reference: Based on CPWD Prescriptive Specifications</w:t>
        <w:br/>
      </w:r>
    </w:p>
    <w:p>
      <w:r>
        <w:br w:type="page"/>
      </w:r>
    </w:p>
    <w:p>
      <w:pPr>
        <w:pStyle w:val="Heading1"/>
      </w:pPr>
      <w:r>
        <w:t>1. Purpose of the Method Statement</w:t>
      </w:r>
    </w:p>
    <w:p>
      <w:r>
        <w:rPr>
          <w:sz w:val="22"/>
        </w:rPr>
        <w:t>This Method Statement details the procedures and controls for Reinforced Cement Concrete (RCC) works, as specified under §5.0. It aims to ensure that all RCC work, including the potential use of Fly ash Blended Cements per IS 1489 (Part I) (§5.1.2.0), strictly adheres to the requirements of IS 456-2000 Code of Practice for Plain and Reinforced Concrete (§5.1.2.1 (i)). The statement covers concrete mix proportion, production, quality assurance measures, and curing to achieve a minimum M-25 grade concrete in all structural elements (§5.1.2.1 (ii)) and to meet specified durability criteria, including enhanced wet curing periods (§5.1.2.1 (vi)).</w:t>
      </w:r>
    </w:p>
    <w:p/>
    <w:p>
      <w:pPr>
        <w:pStyle w:val="Heading1"/>
      </w:pPr>
      <w:r>
        <w:t>2. Scope of the Method Statement</w:t>
      </w:r>
    </w:p>
    <w:p>
      <w:r>
        <w:rPr>
          <w:sz w:val="22"/>
        </w:rPr>
        <w:t>This method statement covers Reinforced Cement Concrete (RCC) work (per §5.0). The scope includes the construction of columns, beams, column heads, and slabs (per §5.4.4), specifically roof slabs which require an even and smooth wooden trowel finish (per §5.4.3.3). Additionally, RCC work encompasses the construction of piers, abutments, portal frames, pier caps, bearing pedestals, and seismic arresters (per §5.8A listed in §4.4.6), as well as RCC diaphragm walls (per §5.8B listed in §4.4.6). The specific grade of concrete to be used for these works is not explicitly stated in the provided specification excerpts.</w:t>
      </w:r>
    </w:p>
    <w:p/>
    <w:p>
      <w:pPr>
        <w:pStyle w:val="Heading1"/>
      </w:pPr>
      <w:r>
        <w:t>3. Acronyms and Definitions</w:t>
      </w:r>
    </w:p>
    <w:p>
      <w:pPr>
        <w:pStyle w:val="ListBullet"/>
      </w:pPr>
      <w:r>
        <w:rPr>
          <w:sz w:val="22"/>
        </w:rPr>
        <w:t>Workability** – A characteristic of concrete, measured by determination of compacting factor or slump (per §4.2.2.2, §5.8.5.2).</w:t>
      </w:r>
    </w:p>
    <w:p>
      <w:pPr>
        <w:pStyle w:val="ListBullet"/>
      </w:pPr>
      <w:r>
        <w:rPr>
          <w:sz w:val="22"/>
        </w:rPr>
        <w:t>Compacting Factor** – A method for measuring concrete workability, suggested for the ‘very low’ category (per §4.2.2.2).</w:t>
      </w:r>
    </w:p>
    <w:p>
      <w:pPr>
        <w:pStyle w:val="ListBullet"/>
      </w:pPr>
      <w:r>
        <w:rPr>
          <w:sz w:val="22"/>
        </w:rPr>
        <w:t>Slump** – A method for measuring concrete workability, restricted to 100 mm maximum for normal methods of placing concrete (per §5.8.5.2).</w:t>
      </w:r>
    </w:p>
    <w:p>
      <w:pPr>
        <w:pStyle w:val="ListBullet"/>
      </w:pPr>
      <w:r>
        <w:rPr>
          <w:sz w:val="22"/>
        </w:rPr>
        <w:t>PPC** – Fly Ash Blended Cement manufactured conforming to IS 1489 (Part-I) (per §5.1.2.3).</w:t>
      </w:r>
    </w:p>
    <w:p>
      <w:pPr>
        <w:pStyle w:val="ListBullet"/>
      </w:pPr>
      <w:r>
        <w:rPr>
          <w:sz w:val="22"/>
        </w:rPr>
        <w:t>PPCC** – Fly Ash Blended Cements used in Cement Concrete in RCC structures (per §5.1.2.3).</w:t>
      </w:r>
    </w:p>
    <w:p>
      <w:pPr>
        <w:pStyle w:val="ListBullet"/>
      </w:pPr>
      <w:r>
        <w:rPr>
          <w:sz w:val="22"/>
        </w:rPr>
        <w:t>Design Mixes** – Concrete mixes whose strength is controlled by a quality control system as per IS 456, based on random tests of mixes and continuous analysis of cube test results (per §5.9.7.4).</w:t>
      </w:r>
    </w:p>
    <w:p>
      <w:pPr>
        <w:pStyle w:val="ListBullet"/>
      </w:pPr>
      <w:r>
        <w:rPr>
          <w:sz w:val="22"/>
        </w:rPr>
        <w:t>Prescribed Mixes** – Concrete mixes for which periodic and systematic checks ensure cementitious material contents comply with their mix descriptions (per §5.9.7.4).</w:t>
      </w:r>
    </w:p>
    <w:p>
      <w:pPr>
        <w:pStyle w:val="ListBullet"/>
      </w:pPr>
      <w:r>
        <w:rPr>
          <w:sz w:val="22"/>
        </w:rPr>
        <w:t>Liquid Admixtures** – Admixtures introduced into concrete as liquids, including categories such as Air Entraining, Water Reducing, Water Reducing Retarders, Retarders, Water Reducing Accelerators, and Accelerators (per §4.1.2.2).</w:t>
      </w:r>
    </w:p>
    <w:p/>
    <w:p>
      <w:pPr>
        <w:pStyle w:val="Heading1"/>
      </w:pPr>
      <w:r>
        <w:t>4. Reference Documents</w:t>
      </w:r>
    </w:p>
    <w:p>
      <w:r>
        <w:rPr>
          <w:sz w:val="22"/>
        </w:rPr>
        <w:t>The following codes and documents are explicitly cited in the specifications:</w:t>
      </w:r>
    </w:p>
    <w:p>
      <w:pPr>
        <w:pStyle w:val="ListNumber"/>
      </w:pPr>
      <w:r>
        <w:rPr>
          <w:sz w:val="22"/>
        </w:rPr>
        <w:t>IS 9103 (per §4.1.2, §5.1.2.1)</w:t>
      </w:r>
    </w:p>
    <w:p>
      <w:pPr>
        <w:pStyle w:val="ListNumber"/>
      </w:pPr>
      <w:r>
        <w:rPr>
          <w:sz w:val="22"/>
        </w:rPr>
        <w:t>IS 1489 (Part-I) (per §5.1.2.3)</w:t>
      </w:r>
    </w:p>
    <w:p>
      <w:pPr>
        <w:pStyle w:val="ListNumber"/>
      </w:pPr>
      <w:r>
        <w:rPr>
          <w:sz w:val="22"/>
        </w:rPr>
        <w:t>IS 456-2000 Code of Practice for Plain and Reinforced Concrete (as amended up to date) (per §5.1.2.1, §5.8.6.2)</w:t>
      </w:r>
    </w:p>
    <w:p>
      <w:pPr>
        <w:pStyle w:val="ListNumber"/>
      </w:pPr>
      <w:r>
        <w:rPr>
          <w:sz w:val="22"/>
        </w:rPr>
        <w:t>CPWD SPECIFICATIONS 2019 (per §4.1.2, §5.1.2.1)</w:t>
      </w:r>
    </w:p>
    <w:p/>
    <w:p>
      <w:pPr>
        <w:pStyle w:val="Heading1"/>
      </w:pPr>
      <w:r>
        <w:t>5. Procedure for Concreting</w:t>
      </w:r>
    </w:p>
    <w:p>
      <w:r>
        <w:rPr>
          <w:sz w:val="22"/>
        </w:rPr>
        <w:t>The following procedure outlines the steps for RCC works:</w:t>
      </w:r>
    </w:p>
    <w:p>
      <w:r>
        <w:rPr>
          <w:sz w:val="22"/>
        </w:rPr>
        <w:t>**(a) Formwork**</w:t>
      </w:r>
    </w:p>
    <w:p>
      <w:r>
        <w:rPr>
          <w:sz w:val="22"/>
        </w:rPr>
        <w:t>Not explicitly stated in the specification.</w:t>
      </w:r>
    </w:p>
    <w:p>
      <w:r>
        <w:rPr>
          <w:sz w:val="22"/>
        </w:rPr>
        <w:t>**(b) Reinforcement**</w:t>
      </w:r>
    </w:p>
    <w:p>
      <w:r>
        <w:rPr>
          <w:sz w:val="22"/>
        </w:rPr>
        <w:t>Not explicitly stated in the specification.</w:t>
      </w:r>
    </w:p>
    <w:p>
      <w:r>
        <w:rPr>
          <w:sz w:val="22"/>
        </w:rPr>
        <w:t>**(c) Mix Design / Batching**</w:t>
      </w:r>
    </w:p>
    <w:p>
      <w:pPr>
        <w:pStyle w:val="ListNumber"/>
      </w:pPr>
      <w:r>
        <w:rPr>
          <w:sz w:val="22"/>
        </w:rPr>
        <w:t>**Mix Proportioning:** Due consideration shall be given to the moisture content in aggregates, and the mix shall be designed to restrict the maximum free water cement ratio to less than 0.5 (per §5.8.5.1). The water cement ratio shall be maintained constant at its correct value, with surface water in aggregates considered for quantity adjustments (per §4.2.4.5, Table 4.8).</w:t>
      </w:r>
    </w:p>
    <w:p>
      <w:pPr>
        <w:pStyle w:val="ListNumber"/>
      </w:pPr>
      <w:r>
        <w:rPr>
          <w:sz w:val="22"/>
        </w:rPr>
        <w:t>**Nominal Mix Concrete Proportions (per §4.2.3.2, Table 4.7):**</w:t>
      </w:r>
    </w:p>
    <w:p>
      <w:pPr>
        <w:pStyle w:val="ListBullet"/>
      </w:pPr>
      <w:r>
        <w:rPr>
          <w:sz w:val="22"/>
        </w:rPr>
        <w:t>M5:** Total dry aggregates max 800 kg per 50 kg cement; Fine Aggregate to Coarse Aggregate (FA:CA) generally 1:2 (upper limit 1:1.5, lower limit 1:2.5); Max 60 L water per 50 kg cement.</w:t>
      </w:r>
    </w:p>
    <w:p>
      <w:pPr>
        <w:pStyle w:val="ListBullet"/>
      </w:pPr>
      <w:r>
        <w:rPr>
          <w:sz w:val="22"/>
        </w:rPr>
        <w:t>M7.5:** Total dry aggregates max 625 kg per 50 kg cement; Max 45 L water per 50 kg cement.</w:t>
      </w:r>
    </w:p>
    <w:p>
      <w:pPr>
        <w:pStyle w:val="ListBullet"/>
      </w:pPr>
      <w:r>
        <w:rPr>
          <w:sz w:val="22"/>
        </w:rPr>
        <w:t>M10:** Total dry aggregates max 480 kg per 50 kg cement; Max 34 L water per 50 kg cement.</w:t>
      </w:r>
    </w:p>
    <w:p>
      <w:pPr>
        <w:pStyle w:val="ListBullet"/>
      </w:pPr>
      <w:r>
        <w:rPr>
          <w:sz w:val="22"/>
        </w:rPr>
        <w:t>M15:** Total dry aggregates max 330 kg per 50 kg cement; Max 32 L water per 50 kg cement.</w:t>
      </w:r>
    </w:p>
    <w:p>
      <w:pPr>
        <w:pStyle w:val="ListBullet"/>
      </w:pPr>
      <w:r>
        <w:rPr>
          <w:sz w:val="22"/>
        </w:rPr>
        <w:t>M20:** Total dry aggregates max 250 kg per 50 kg cement; Max 30 L water per 50 kg cement.</w:t>
      </w:r>
    </w:p>
    <w:p>
      <w:r>
        <w:rPr>
          <w:sz w:val="22"/>
        </w:rPr>
        <w:t>**(d) Mixing**</w:t>
      </w:r>
    </w:p>
    <w:p>
      <w:pPr>
        <w:pStyle w:val="ListNumber"/>
      </w:pPr>
      <w:r>
        <w:rPr>
          <w:sz w:val="22"/>
        </w:rPr>
        <w:t>**Equipment:** Concrete shall be mixed in mechanical batch type concrete mixers conforming to IS 1791, having two blades and fitted with a power loader (lifting hopper type). Half bag mixers and mixers without lifting hoppers shall not be used (per §4.2.5).</w:t>
      </w:r>
    </w:p>
    <w:p>
      <w:pPr>
        <w:pStyle w:val="ListNumber"/>
      </w:pPr>
      <w:r>
        <w:rPr>
          <w:sz w:val="22"/>
        </w:rPr>
        <w:t>**Hand Mixing:** Hand mixing may be done only in exceptional circumstances (e.g., mechanical breakdown, remote areas, power breakdown, very small quantity) with specific prior written permission from the Engineer-in-Charge and subject to adding 10% extra cement. It shall be carried out on a watertight platform until uniform in colour and consistency (per §4.2.5).</w:t>
      </w:r>
    </w:p>
    <w:p>
      <w:pPr>
        <w:pStyle w:val="ListNumber"/>
      </w:pPr>
      <w:r>
        <w:rPr>
          <w:sz w:val="22"/>
        </w:rPr>
        <w:t>**Aggregate Preparation:** Brick aggregate shall be well soaked with water for a minimum period of two hours. Stone aggregate or gravel shall be washed to remove dirt, dust, and foreign materials (per §4.2.5).</w:t>
      </w:r>
    </w:p>
    <w:p>
      <w:pPr>
        <w:pStyle w:val="ListNumber"/>
      </w:pPr>
      <w:r>
        <w:rPr>
          <w:sz w:val="22"/>
        </w:rPr>
        <w:t>**Mixing Time:** For guidance, mixing time may be 1.5 to 2 minutes; for hydrophobic cement, it may be 2.5 to 3 minutes (per §4.2.5).</w:t>
      </w:r>
    </w:p>
    <w:p>
      <w:pPr>
        <w:pStyle w:val="ListNumber"/>
      </w:pPr>
      <w:r>
        <w:rPr>
          <w:sz w:val="22"/>
        </w:rPr>
        <w:t>**Mixing Efficiency:** The mixer shall be tested per IS 4643 to ensure concrete uniformity. Percentage variation in quantity (mass in water) between the two halves of a batch and the average of the two halves shall not exceed: Cement 8%, Fine aggregate 6%, Coarse aggregate 5% (per §4.2.5.2).</w:t>
      </w:r>
    </w:p>
    <w:p>
      <w:r>
        <w:rPr>
          <w:sz w:val="22"/>
        </w:rPr>
        <w:t>**(e) Transportation &amp; Placing**</w:t>
      </w:r>
    </w:p>
    <w:p>
      <w:pPr>
        <w:pStyle w:val="ListNumber"/>
      </w:pPr>
      <w:r>
        <w:rPr>
          <w:sz w:val="22"/>
        </w:rPr>
        <w:t>Concrete shall be compacted into a dense mass immediately after placing (per §5.4.3.1).</w:t>
      </w:r>
    </w:p>
    <w:p>
      <w:pPr>
        <w:pStyle w:val="ListNumber"/>
      </w:pPr>
      <w:r>
        <w:rPr>
          <w:sz w:val="22"/>
        </w:rPr>
        <w:t>Specific procedures for transportation and placing are not explicitly stated in the specification.</w:t>
      </w:r>
    </w:p>
    <w:p>
      <w:r>
        <w:rPr>
          <w:sz w:val="22"/>
        </w:rPr>
        <w:t>**(f) Compaction**</w:t>
      </w:r>
    </w:p>
    <w:p>
      <w:pPr>
        <w:pStyle w:val="ListNumber"/>
      </w:pPr>
      <w:r>
        <w:rPr>
          <w:sz w:val="22"/>
        </w:rPr>
        <w:t>**Method:** Concrete shall be compacted into a dense mass immediately after placing by mechanical vibrators designed for continuous operations, complying with IS 2505, IS 2506, IS 2514, and IS 4656 (per §5.4.3.1).</w:t>
      </w:r>
    </w:p>
    <w:p>
      <w:pPr>
        <w:pStyle w:val="ListNumber"/>
      </w:pPr>
      <w:r>
        <w:rPr>
          <w:sz w:val="22"/>
        </w:rPr>
        <w:t>**Hand Compaction:** The Engineer-in-Charge may, at their discretion, permit hand compaction with tamping rods for certain items, ensuring concrete is thoroughly compacted and worked around reinforcement, embedded fixtures, and into form corners (per §5.4.3.1).</w:t>
      </w:r>
    </w:p>
    <w:p>
      <w:pPr>
        <w:pStyle w:val="ListNumber"/>
      </w:pPr>
      <w:r>
        <w:rPr>
          <w:sz w:val="22"/>
        </w:rPr>
        <w:t>**Layering:** Layers of concrete shall be placed such that the bottom layer does not finally set before the top layer is placed (per §5.4.3.1).</w:t>
      </w:r>
    </w:p>
    <w:p>
      <w:pPr>
        <w:pStyle w:val="ListNumber"/>
      </w:pPr>
      <w:r>
        <w:rPr>
          <w:sz w:val="22"/>
        </w:rPr>
        <w:t>**Vibration:** Vibrators shall maintain adequate agitation for de-aeration and effective compaction, commensurate with the supply rate. Vibration shall continue throughout the placing period, with vibrators adjusted so the center of vibrations approximates the center of the mass being compacted (per §5.4.3.1).</w:t>
      </w:r>
    </w:p>
    <w:p>
      <w:r>
        <w:rPr>
          <w:sz w:val="22"/>
        </w:rPr>
        <w:t>**(g) Finishing**</w:t>
      </w:r>
    </w:p>
    <w:p>
      <w:r>
        <w:rPr>
          <w:sz w:val="22"/>
        </w:rPr>
        <w:t>Not explicitly stated in the specification.</w:t>
      </w:r>
    </w:p>
    <w:p>
      <w:r>
        <w:rPr>
          <w:sz w:val="22"/>
        </w:rPr>
        <w:t>**(h) Curing**</w:t>
      </w:r>
    </w:p>
    <w:p>
      <w:pPr>
        <w:pStyle w:val="ListNumber"/>
      </w:pPr>
      <w:r>
        <w:rPr>
          <w:sz w:val="22"/>
        </w:rPr>
        <w:t>**Purpose:** Curing is the process of preventing loss of moisture from the concrete (per §4.2.10).</w:t>
      </w:r>
    </w:p>
    <w:p>
      <w:pPr>
        <w:pStyle w:val="ListNumber"/>
      </w:pPr>
      <w:r>
        <w:rPr>
          <w:sz w:val="22"/>
        </w:rPr>
        <w:t>**Initial Protection:** After concrete has begun to harden (approximately 1 to 2 hours after laying), it shall be protected from quick drying by covering with moist gunny bags, sand, canvass Hessian, or other Engineer-in-Charge approved material (per §5.4.6).</w:t>
      </w:r>
    </w:p>
    <w:p>
      <w:pPr>
        <w:pStyle w:val="ListNumber"/>
      </w:pPr>
      <w:r>
        <w:rPr>
          <w:sz w:val="22"/>
        </w:rPr>
        <w:t>**Ponding:** After 24 hours of laying, the surface shall be cured by ponding with water for a minimum period of 7 days from the date of placing for Ordinary Portland Cement (OPC), and at least 10 days where mineral admixtures or blended cements are used (per §5.4.6).</w:t>
      </w:r>
    </w:p>
    <w:p>
      <w:pPr>
        <w:pStyle w:val="ListNumber"/>
      </w:pPr>
      <w:r>
        <w:rPr>
          <w:sz w:val="22"/>
        </w:rPr>
        <w:t>**Weather Conditions:** The curing period shall not be less than 10 days for concrete exposed to dry and hot weather conditions (per §5.4.6).</w:t>
      </w:r>
    </w:p>
    <w:p>
      <w:pPr>
        <w:pStyle w:val="ListNumber"/>
      </w:pPr>
      <w:r>
        <w:rPr>
          <w:sz w:val="22"/>
        </w:rPr>
        <w:t>**Membrane Curing:** Approved curing compounds may be used in lieu of moist curing with the Engineer-in-Charge's permission. Such compounds shall be applied to all exposed surfaces as soon as possible after the concrete has set. Impermeable membranes, such as polythene sheets, may also be used (per §4.2.10.2).</w:t>
      </w:r>
    </w:p>
    <w:p/>
    <w:p>
      <w:pPr>
        <w:pStyle w:val="Heading1"/>
      </w:pPr>
      <w:r>
        <w:t>6. Equipment Used</w:t>
      </w:r>
    </w:p>
    <w:p>
      <w:pPr>
        <w:pStyle w:val="ListBullet"/>
      </w:pPr>
      <w:r>
        <w:rPr>
          <w:sz w:val="22"/>
        </w:rPr>
        <w:t>Props**: Provided for multi-stage centering where the height exceeds 3.50 metres (per §5.2.3.4). They also support beam heads (per §5.2.3.3).</w:t>
      </w:r>
    </w:p>
    <w:p>
      <w:pPr>
        <w:pStyle w:val="ListBullet"/>
      </w:pPr>
      <w:r>
        <w:rPr>
          <w:sz w:val="22"/>
        </w:rPr>
        <w:t>Steel shuttering**: Used for concreting, requiring sufficient stiffness, proper repair, and cleaning (per §5.2.3.3).</w:t>
      </w:r>
    </w:p>
    <w:p>
      <w:pPr>
        <w:pStyle w:val="ListBullet"/>
      </w:pPr>
      <w:r>
        <w:rPr>
          <w:sz w:val="22"/>
        </w:rPr>
        <w:t>12 mm thick water proofing ply**: May be used as shuttering for unavoidable portions and very small works where steel shuttering is not feasible (per §5.2.3.3).</w:t>
      </w:r>
    </w:p>
    <w:p>
      <w:pPr>
        <w:pStyle w:val="ListBullet"/>
      </w:pPr>
      <w:r>
        <w:rPr>
          <w:sz w:val="22"/>
        </w:rPr>
        <w:t>Rubberized lining of material**: Provided in shuttering joints, if required and approved by the Engineer-in-Charge, to prevent slurry leakage (per §5.2.3.3).</w:t>
      </w:r>
    </w:p>
    <w:p>
      <w:pPr>
        <w:pStyle w:val="ListBullet"/>
      </w:pPr>
      <w:r>
        <w:rPr>
          <w:sz w:val="22"/>
        </w:rPr>
        <w:t>Runner Joists (RSJ, MS Channel or other suitable sections)**: Used as runners in shuttering (per §5.2.3.3).</w:t>
      </w:r>
    </w:p>
    <w:p>
      <w:pPr>
        <w:pStyle w:val="ListBullet"/>
      </w:pPr>
      <w:r>
        <w:rPr>
          <w:sz w:val="22"/>
        </w:rPr>
        <w:t>Beam head**: An adopter that fits on prop head plates to provide wider support under beam bottoms (per §5.2.3.3).</w:t>
      </w:r>
    </w:p>
    <w:p>
      <w:pPr>
        <w:pStyle w:val="ListBullet"/>
      </w:pPr>
      <w:r>
        <w:rPr>
          <w:sz w:val="22"/>
        </w:rPr>
        <w:t>Stationary/Central Mixers**: Used for mixing concrete, not exceeding manufacturer's rated capacity. Mixing time shall be as recommended by the manufacturer (per §5.9.6.4).</w:t>
      </w:r>
    </w:p>
    <w:p>
      <w:pPr>
        <w:pStyle w:val="ListBullet"/>
      </w:pPr>
      <w:r>
        <w:rPr>
          <w:sz w:val="22"/>
        </w:rPr>
        <w:t>Continuous mixing plant**: Used to ensure the concrete is of required uniformity (per §5.9.6.4).</w:t>
      </w:r>
    </w:p>
    <w:p>
      <w:pPr>
        <w:pStyle w:val="ListBullet"/>
      </w:pPr>
      <w:r>
        <w:rPr>
          <w:sz w:val="22"/>
        </w:rPr>
        <w:t>Truck Mixers / Agitators**: Used for partial or complete mixing of concrete and for transportation, not exceeding manufacturer’s rated capacity (per §5.9.6.4).</w:t>
      </w:r>
    </w:p>
    <w:p>
      <w:pPr>
        <w:pStyle w:val="ListBullet"/>
      </w:pPr>
      <w:r>
        <w:rPr>
          <w:sz w:val="22"/>
        </w:rPr>
        <w:t>Truck mixer water meter**: Used to measure water added to concrete in the truck mixer, must be operational and calibrated (per §5.9.6.4).</w:t>
      </w:r>
    </w:p>
    <w:p>
      <w:pPr>
        <w:pStyle w:val="ListBullet"/>
      </w:pPr>
      <w:r>
        <w:rPr>
          <w:sz w:val="22"/>
        </w:rPr>
        <w:t>Suitable container**: Used for measuring water if a truck mixer water meter is not available (per §5.9.6.4).</w:t>
      </w:r>
    </w:p>
    <w:p>
      <w:pPr>
        <w:pStyle w:val="ListBullet"/>
      </w:pPr>
      <w:r>
        <w:rPr>
          <w:sz w:val="22"/>
        </w:rPr>
        <w:t>Squeeze pressure pumps**: Consist of a receiving hopper with re-mixing blades, a flexible hose, a metal drum maintained under vacuum, and hydraulically operated metal rollers, used for forcing concrete into pipelines (per §5.10.2.2).</w:t>
      </w:r>
    </w:p>
    <w:p/>
    <w:p>
      <w:pPr>
        <w:pStyle w:val="Heading1"/>
      </w:pPr>
      <w:r>
        <w:t>7. Key People Involved</w:t>
      </w:r>
    </w:p>
    <w:p>
      <w:r>
        <w:rPr>
          <w:sz w:val="22"/>
        </w:rPr>
        <w:t>The only explicitly mentioned role is the **Producer**, who shall have a procedure in place to enable the diagnosis and correction of faults identified from complaints (per §5.9.7.6).</w:t>
      </w:r>
    </w:p>
    <w:p>
      <w:r>
        <w:rPr>
          <w:sz w:val="22"/>
        </w:rPr>
        <w:t>Roles implied by activities, but not explicitly named or assigned specific personnel responsibilities within the provided excerpts, include:</w:t>
      </w:r>
    </w:p>
    <w:p>
      <w:pPr>
        <w:pStyle w:val="ListBullet"/>
      </w:pPr>
      <w:r>
        <w:rPr>
          <w:sz w:val="22"/>
        </w:rPr>
        <w:t>Personnel responsible for Testing of Concrete (per §4.2.11, §5.4.9).</w:t>
      </w:r>
    </w:p>
    <w:p>
      <w:pPr>
        <w:pStyle w:val="ListBullet"/>
      </w:pPr>
      <w:r>
        <w:rPr>
          <w:sz w:val="22"/>
        </w:rPr>
        <w:t>Personnel responsible for Sampling and Testing of Ready-Mixed Concrete (per §5.9.3).</w:t>
      </w:r>
    </w:p>
    <w:p>
      <w:pPr>
        <w:pStyle w:val="ListBullet"/>
      </w:pPr>
      <w:r>
        <w:rPr>
          <w:sz w:val="22"/>
        </w:rPr>
        <w:t>Personnel responsible for Quality Control, encompassing forward, immediate, and retrospective control (per §5.9.7).</w:t>
      </w:r>
    </w:p>
    <w:p>
      <w:pPr>
        <w:pStyle w:val="ListBullet"/>
      </w:pPr>
      <w:r>
        <w:rPr>
          <w:sz w:val="22"/>
        </w:rPr>
        <w:t>Personnel involved in the diagnosis and correction of faults as part of the complaint procedure (per §5.9.7.6).</w:t>
      </w:r>
    </w:p>
    <w:p/>
    <w:p>
      <w:pPr>
        <w:pStyle w:val="Heading1"/>
      </w:pPr>
      <w:r>
        <w:t>8. Quality Control and Testing</w:t>
      </w:r>
    </w:p>
    <w:p>
      <w:r>
        <w:rPr>
          <w:sz w:val="22"/>
        </w:rPr>
        <w:t>Quality control mandates cube tests for concrete compressive strength per IS 456 and IS 516 (§5.4.9.1, §5.11.5(i)). Fresh concrete samples are taken from the central batch plant (guideline tests) and placement location (field tests), with field test results serving as the sole criterion for strength (§5.11.5(a), (b)). For truck/shrink mix, guideline samples are collected at discharge, omitting the first and last 15% of the load (§5.11.5(c)).</w:t>
      </w:r>
    </w:p>
    <w:p>
      <w:r>
        <w:rPr>
          <w:sz w:val="22"/>
        </w:rPr>
        <w:t>Sampling frequency for 28-day crushing strength tests, for both field and guideline specimens, is as given in Table 5.8. Each sample must yield a minimum of 3 cubes per IS 516 (§5.11.5(d)). Identical frequencies apply to 7-day early strength tests (§5.11.5(f)). Preliminary design mix tests mandate six 7-day and six 28-day specimens (§5.11.5(g)).</w:t>
      </w:r>
    </w:p>
    <w:p>
      <w:r>
        <w:rPr>
          <w:sz w:val="22"/>
        </w:rPr>
        <w:t>Acceptance for 28-day field specimen crushing strength requires results not less than values given in Table 5.6 (§5.11.5(e)). 7-day strengths are for projection only and do not confirm specification compliance (§5.11.5(f)).</w:t>
      </w:r>
    </w:p>
    <w:p>
      <w:r>
        <w:rPr>
          <w:sz w:val="22"/>
        </w:rPr>
        <w:t>Should 28-day values fall short, or concrete placement be doubtful, the Engineer-in-Charge may order non-destructive tests (e.g., Rebound hammer, Core test, Load test) (§5.11.5(ii)(a)). Core tests follow IS 516, with samples per IS:1199 from Engineer-in-Charge identified locations (§5.11.5(ii)(c)).</w:t>
      </w:r>
    </w:p>
    <w:p>
      <w:r>
        <w:rPr>
          <w:sz w:val="22"/>
        </w:rPr>
        <w:t>All tests are to be conducted by qualified contractor/manufacturer technicians, witnessed by the Engineer-in-Charge’s authorized representative, with reports jointly signed (§5.11.5(ii)(f)). The contractor/manufacturer must establish a fully equipped and staffed field laboratory at their expense (§5.11.5(ii)(h)) and bear all testing costs (§5.11.5(ii)(e)). Specimens must be properly labeled with date, grade, exact placement location, and purchaser's order number (§5.11.5(i)).</w:t>
      </w:r>
    </w:p>
    <w:p/>
    <w:p>
      <w:pPr>
        <w:pStyle w:val="Heading1"/>
      </w:pPr>
      <w:r>
        <w:t>9. Health, Safety &amp; Environment (HSE) Considerations</w:t>
      </w:r>
    </w:p>
    <w:p>
      <w:r>
        <w:rPr>
          <w:sz w:val="22"/>
        </w:rPr>
        <w:t>Health, Safety, and Environmental (HSE) measures are not explicitly stated in the provided specification excerpts. The documents classify environmental exposure conditions for the concrete's working life (per §4.2.14.1.1) and specify nominal concrete cover based on these exposure levels (per §5.3.3.5 and §5.3.5), but do not detail any procedures, requirements, or precautions for worker safety, health protection, or environmental management during RCC works.</w:t>
      </w:r>
    </w:p>
    <w:p/>
    <w:p>
      <w:pPr>
        <w:pStyle w:val="Heading1"/>
      </w:pPr>
      <w:r>
        <w:t>10. Other Relevant Information</w:t>
      </w:r>
    </w:p>
    <w:p>
      <w:r>
        <w:rPr>
          <w:sz w:val="22"/>
        </w:rPr>
        <w:t>Materials and works shall conform to the latest edition of reference specifications, applicable codes, and requirements of local authorities (per §5.12.1.2). Admixtures must be tested per IS 9103 and approved by the Engineer-in-Charge (per §4.1.2.9); for M30 &amp; above, PCE based and Viscosity Modifiers are specified or as per design mix (per §5.8.6.2).</w:t>
      </w:r>
    </w:p>
    <w:p>
      <w:r>
        <w:rPr>
          <w:sz w:val="22"/>
        </w:rPr>
        <w:t>Concreting in extreme weather shall follow IS 7861 (Part–I)-1975 (hot) and IS 7861 (Part II)-1981 (cold) (per §4.2.9.1). Concreting is prohibited below 4.5ºC and placed concrete must be protected against frost (per §4.2.9.1, §5.4.2.5). Wet concrete temperature shall not exceed 38ºC during hot weather (per §4.2.9.1, §5.4.2.6). No concrete shall be laid within half an hour of closing time, unless permitted by the Engineer-in-Charge (per §5.4.2.6).</w:t>
      </w:r>
    </w:p>
    <w:p>
      <w:r>
        <w:rPr>
          <w:sz w:val="22"/>
        </w:rPr>
        <w:t>Concrete is liable to be rejected if porous, honey-combed, placing interrupted without a proper joint, or reinforcement/construction tolerances are not met (per §5.8.3.6). Hardened concrete may be accepted after suitable remedial measures to the Engineer-in-Charge's satisfaction (per §5.8.3.6). Frost-damaged concrete shall be removed and redone (per §5.4.2.5). Non-compliant concrete requires investigation of structural adequacy and consequential action (per §5.8.3.4).</w:t>
      </w:r>
    </w:p>
    <w:p/>
    <w:p>
      <w:pPr>
        <w:pStyle w:val="Heading2"/>
      </w:pPr>
      <w:r>
        <w:t>Note on Sources</w:t>
      </w:r>
    </w:p>
    <w:p>
      <w:r>
        <w:t>All information in this Method Statement has been extracted from the CPWD Prescriptive Specifications document using an NLP-based retrieval pipeline.  Where specification text was insufficient, this has been explicitly noted.  No external sources were used unless stated otherwise.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