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L. Pahulich,</w:t>
      </w:r>
      <w:r>
        <w:t xml:space="preserve"> </w:t>
      </w:r>
      <w:r>
        <w:rPr>
          <w:i/>
          <w:iCs/>
        </w:rPr>
        <w:t xml:space="preserve">Racialization of Roma, European Modernity, and the Entanglement of Empires</w:t>
      </w:r>
      <w:r>
        <w:t xml:space="preserve">, „Critical Romani Studies”, 2025, t. 8, nr 1, s. 40–61, DOI: 10.29098/crs.v8i1.208. Tekst opublikowany na licencji CC BY-NC 4.0 (https://creativecommons.org/licenses/by-nc/4.0/); niniejszy przekład stanowi zmianę utworu w rozumieniu licencji. Tłumaczenie: Michał Bartosz. Cytaty ze źródeł obcojęzycznych, o ile nie wskazano inaczej, w przekładzie tłumacza artykułu.</w:t>
      </w:r>
      <w:r>
        <w:t xml:space="preserve"> </w:t>
      </w:r>
      <w:commentRangeStart w:id="1"/>
      <w:commentRangeEnd w:id="1"/>
      <w:r>
        <w:rPr>
          <w:rStyle w:val="CommentReference"/>
        </w:rPr>
        <w:commentReference w:id="1"/>
      </w:r>
    </w:p>
    <w:p>
      <w:pPr>
        <w:pStyle w:val="SROMprzypis-tytulowy"/>
      </w:pPr>
      <w:r>
        <w:t xml:space="preserve">Jestem szczerze wdzięczna redaktorom tego numeru oraz anonimowym recenzentom za cenne i wnikliwe uwagi. Praca nad artykułem powstała w ramach projektu badawczego „Rivals of the Past, Children of the Future” (V 741), finansowanego przez Austrian Science Fund (FWF).</w:t>
      </w:r>
    </w:p>
    <w:p>
      <w:pPr>
        <w:pStyle w:val="Heading1"/>
      </w:pPr>
      <w:r>
        <w:t xml:space="preserve">Wstęp</w:t>
      </w:r>
    </w:p>
    <w:p>
      <w:pPr>
        <w:pStyle w:val="FirstParagraph"/>
      </w:pPr>
      <w:r>
        <w:t xml:space="preserve">Badacze odnotowują wysoki poziom dyskryminacji Romów i przemocy wobec nich w całej Europie Wschodniej</w:t>
      </w:r>
      <w:r>
        <w:rPr>
          <w:rStyle w:val="FootnoteReference"/>
        </w:rPr>
        <w:footnoteReference w:id="9"/>
      </w:r>
      <w:r>
        <w:rPr>
          <w:rStyle w:val="FootnoteReference"/>
        </w:rPr>
        <w:footnoteReference w:id="10"/>
      </w:r>
      <w:r>
        <w:t xml:space="preserve">. W atakach na Romów, wbrew wszelkim faktom, często oskarża się ich o przestępczość tylko dlatego, że są postrzegani jako Romowie. Co istotne, większość napaści na Romów dotyka tych, którzy żyją poniżej granicy ubóstwa albo migrują za pracą sezonową. Choć obecności logiki rasowej w Europie Wschodniej często się zaprzecza, domniemanie przestępczości i obwinianie o potencjalnie nieuczciwe zachowania narzuca się Romom, których urasawia się jako niebiałych i nieeuropejskich</w:t>
      </w:r>
      <w:r>
        <w:rPr>
          <w:rStyle w:val="FootnoteReference"/>
        </w:rPr>
        <w:footnoteReference w:id="11"/>
      </w:r>
      <w:r>
        <w:t xml:space="preserve">. W odpowiedzi na utrzymującą się przemoc systemową i wykluczenie romscy badacze wypracowali rozmaite ujęcia teoretyczne, na przykład pojęcie antycyganizmu (</w:t>
      </w:r>
      <w:r>
        <w:rPr>
          <w:i/>
          <w:iCs/>
        </w:rPr>
        <w:t xml:space="preserve">antigypsyism</w:t>
      </w:r>
      <w:r>
        <w:t xml:space="preserve">), aby pokazać, że rasizm antyromski nie jest jedynie współczesnym uprzedzeniem, lecz zjawiskiem głęboko zakorzenionym w historii Europy, jednym z fundamentów kapitalizmu rasowego (</w:t>
      </w:r>
      <w:r>
        <w:rPr>
          <w:i/>
          <w:iCs/>
        </w:rPr>
        <w:t xml:space="preserve">racial capitalism</w:t>
      </w:r>
      <w:r>
        <w:t xml:space="preserve">) i neoliberalnego rządzenia</w:t>
      </w:r>
      <w:r>
        <w:rPr>
          <w:rStyle w:val="FootnoteReference"/>
        </w:rPr>
        <w:footnoteReference w:id="12"/>
      </w:r>
      <w:r>
        <w:t xml:space="preserve">. W podobnym duchu niniejszy artykuł podkreśla, że rasizm antyromski świadczy o długotrwałym, wciąż działającym systemie urasowienia (</w:t>
      </w:r>
      <w:r>
        <w:rPr>
          <w:i/>
          <w:iCs/>
        </w:rPr>
        <w:t xml:space="preserve">racialization</w:t>
      </w:r>
      <w:r>
        <w:t xml:space="preserve">), który spycha Romów na margines społeczeństwa.</w:t>
      </w:r>
    </w:p>
    <w:p>
      <w:pPr>
        <w:pStyle w:val="BodyText"/>
      </w:pPr>
      <w:r>
        <w:t xml:space="preserve">Hierarchie wewnątrzeuropejskie przygotowały grunt pod kapitalizm rasowy i pod logikę rasową, którą przepracowano później, gdy europejska ekspansja wyszła poza kontynent i zetknęła się z odległymi „innymi” w Afryce, obu Amerykach i Azji. Tak przepracowana logika rasowa powróciła do Europy, gdy konkwistadorzy zapoczątkowali kolonializm i niewolnictwo transatlantyckie. Współczesne praktyki wytwarzania rasy (</w:t>
      </w:r>
      <w:r>
        <w:rPr>
          <w:i/>
          <w:iCs/>
        </w:rPr>
        <w:t xml:space="preserve">race-making</w:t>
      </w:r>
      <w:r>
        <w:t xml:space="preserve">) w Europie, także w Europie Wschodniej, są zatem wytworem wczesnonowożytnych hierarchii wewnątrzeuropejskich oraz „bumerangowego efektu kolonizacji”</w:t>
      </w:r>
      <w:r>
        <w:rPr>
          <w:rStyle w:val="FootnoteReference"/>
        </w:rPr>
        <w:footnoteReference w:id="13"/>
      </w:r>
      <w:r>
        <w:t xml:space="preserve">.</w:t>
      </w:r>
      <w:r>
        <w:t xml:space="preserve"> </w:t>
      </w:r>
      <w:commentRangeStart w:id="2"/>
      <w:commentRangeEnd w:id="2"/>
      <w:r>
        <w:rPr>
          <w:rStyle w:val="CommentReference"/>
        </w:rPr>
        <w:commentReference w:id="2"/>
      </w:r>
      <w:r>
        <w:t xml:space="preserve"> </w:t>
      </w:r>
      <w:r>
        <w:t xml:space="preserve">W szczególności logika antyczarności (</w:t>
      </w:r>
      <w:r>
        <w:rPr>
          <w:i/>
          <w:iCs/>
        </w:rPr>
        <w:t xml:space="preserve">anti-Blackness</w:t>
      </w:r>
      <w:r>
        <w:t xml:space="preserve">) nawiedza europejskie wyobrażenia o tym, co stanowi o człowieku, i leży u podstaw formacji kapitalizmu rasowego w całej Europie i na świecie. Twierdzę, że także Europa Wschodnia jest uwikłana w rasowe fabrykacje europejskiej nowoczesności. Mówiąc konkretnie, niniejszy artykuł wskazuje na złożoną grę czynników, które przyczyniają się do rasizmu antyromskiego w Europie.</w:t>
      </w:r>
    </w:p>
    <w:p>
      <w:pPr>
        <w:pStyle w:val="BodyText"/>
      </w:pPr>
      <w:r>
        <w:t xml:space="preserve">Artykuł ujmuje Europę Wschodnią jako miejsce, które zapożyczyło i przepracowało logikę rasową europejskiej nowoczesności, a zarazem – ze względu na swoje konteksty społeczne, polityczne i historyczne – wniosło do niej swoisty wkład. Dowodzę, że rasizm antyromski jest skutkiem splątania formacji imperialnych i przeplata się z transnarodowym przepływem kolonialnych logik rasowych. W tym celu przyglądam się z bliska narracjom historycznym i politykom, które wytworzyły i podtrzymywały porządek rasowy, w przeszłości dotykający Romów w całej Europie. Badam też relacje między rasizmem antyromskim a antyczarnością, wskazując, że rasowe logiki antyczarności mają swoje odmiany w Europie Wschodniej. Ponadto sytuuję europejskie myślenie rasowe o Romach w ramach kapitalizmu rasowego.</w:t>
      </w:r>
    </w:p>
    <w:p>
      <w:pPr>
        <w:pStyle w:val="BodyText"/>
      </w:pPr>
      <w:r>
        <w:t xml:space="preserve">Sytuuję tę pracę w obrębie krytycznych teorii rasy (</w:t>
      </w:r>
      <w:r>
        <w:rPr>
          <w:i/>
          <w:iCs/>
        </w:rPr>
        <w:t xml:space="preserve">critical race theories</w:t>
      </w:r>
      <w:r>
        <w:t xml:space="preserve">) rozwiniętych w kontekstach północnoamerykańskim i karaibskim (Sylvia Wynter i Cedric Robinson), sięgając zarazem do prac wschodnioeuropejskich badaczek romskich, takich jak Margareta Matache i Angéla Kóczé. Zamiast przyłączać się do szkół frankfurckiej czy niderlandzkiej – które ujmują antycyganizm jako funkcję konstruktów etnoklasowych i podkreślają społeczno-ekonomiczne usytuowanie Romów w nowoczesnym społeczeństwie kapitalistycznym – dowodzę, że hierarchii rasowych i etnicznych, w tym rasizmu antyromskiego, nie da się w pełni zrozumieć przez pryzmat klasy ani w perspektywie wyłącznie społecznej. Wymagają one raczej pogłębionej analizy historycznej wytwarzania rasy, zakorzenionego w kolonializmie i myśli oświeceniowej. Teoretycy kontynentalni często nie doceniają fundamentalnej roli antyczarności i kolonialności – kwestii, które staram się postawić w centrum debaty. Choć te kontynentalne ujęcia podejmują takie tematy, zwykle czynią to jedynie sporadycznie, a nie w ramach trwałego dialogu z radykalną myślą czarnych. Tymczasem czarna teoria krytyczna pozwala poddać krytyce nie tylko rasizm czy określone polityki, lecz cały porządek epistemiczny i polityczny, który wytwarza Romów i czarnych jako nie-ludzi/podludzi albo życie zbędne. Oferuje perspektywę globalną i dekolonialną, pozwalającą dostrzec w urasowieniu Romów nie tylko europejskie uprzedzenie, lecz zjawisko ściśle splecione z niewolnictwem, imperium i kapitalizmem rasowym.</w:t>
      </w:r>
    </w:p>
    <w:p>
      <w:pPr>
        <w:pStyle w:val="BodyText"/>
      </w:pPr>
      <w:r>
        <w:t xml:space="preserve">Z tej perspektywy rasa nie wywodzi się z klasy ani z dyskursu, lecz współkonstytuuje się z kapitalizmem. Takie ujęcie sytuuje moją pracę poza szkołami frankfurcką i niderlandzką, choć nadal w dialogu z nimi. Przyznaję też, że pełne włączenie radykalnych teorii czarnych do debat o rasizmie antyromskim i antycyganizmie w Europie – kształtowanych przez tradycje szkoły frankfurckiej czy niderlandzkiej – wymagałoby osobnego, obszerniejszego opracowania, wykraczającego poza ramy tego artykułu. Mimo to moja analiza zarówno uznaje istniejące ujęcia kontynentalne, jak i od nich odchodzi. Na przykład w dalszej części artykułu odwołuję się do szkoły niderlandzkiej, aby zbadać relacje między polityką wymierzoną we włóczęgostwo a kapitalizmem rasowym. Choć moje podejście może być odbierane jako „importowanie” rasy do Europy, dowodzę, że przywraca ono raczej uwagę historycznej roli Europy w wytwarzaniu kategorii rasowych, które później nabrały znaczenia globalnego. Moja rama teoretyczna ma także wnieść wkład w rozumienie rasizmu antyromskiego i antycyganizmu, stawiając w centrum formacje rasowe jako fundament nowoczesnych stosunków społecznych i politycznych w Europie. Przyjmując perspektywę globalną, staram się połączyć różne punkty widzenia, uwzględniając odmienne doświadczenia historyczne Romów we wschodniej i zachodniej Europie. Choć praca ta jest punktem wyjścia, zachęca do pogłębionego, relacyjnego badania dziejów Europy Południowo-Wschodniej i Północno-Zachodniej, a także praktyk asymilacji, wyzysku, wykluczenia i ludobójstwa w różnych przestrzeniach geograficznych. Tymczasem niniejszy artykuł podkreśla znaczenie modelu teoretycznego, który uwzględnia strukturalne urasowienie i jego splątanie z kapitalizmem w różnych przestrzeniach geograficznych i formacjach imperialnych – ukazując splątania, podobieństwa i paralele bez zacierania różnic</w:t>
      </w:r>
      <w:r>
        <w:rPr>
          <w:rStyle w:val="FootnoteReference"/>
        </w:rPr>
        <w:footnoteReference w:id="14"/>
      </w:r>
      <w:r>
        <w:t xml:space="preserve">. Różnice te wymagają dalszych, pogłębionych badań, mój wkład polega jednak na wydobyciu na pierwszy plan wzajemnego przeplatania się struktur rasowych i ekonomicznych. Ostatecznie twierdzę, że rasa nie jest wtórna wobec klasy, lecz współkonstytuuje nowoczesne systemy dominacji i wykluczenia w Europie.</w:t>
      </w:r>
    </w:p>
    <w:p>
      <w:pPr>
        <w:pStyle w:val="Heading1"/>
      </w:pPr>
      <w:r>
        <w:t xml:space="preserve">1. Niełatwe historiografie i splątane imperia</w:t>
      </w:r>
    </w:p>
    <w:p>
      <w:pPr>
        <w:pStyle w:val="FirstParagraph"/>
      </w:pPr>
      <w:r>
        <w:t xml:space="preserve">Historyk Angus Fraser</w:t>
      </w:r>
      <w:r>
        <w:rPr>
          <w:rStyle w:val="FootnoteReference"/>
        </w:rPr>
        <w:footnoteReference w:id="15"/>
      </w:r>
      <w:r>
        <w:t xml:space="preserve"> </w:t>
      </w:r>
      <w:r>
        <w:t xml:space="preserve">odnotowuje, że negatywny stosunek do Romów w Europie Zachodniej zaczął narastać w połowie XV wieku i rozprzestrzenił się na Europę Wschodnią. Ian Law i Martin Kovats stwierdzają, że już w 1422 roku opisywano Romów jako „czarnych” i „brudnych”</w:t>
      </w:r>
      <w:r>
        <w:rPr>
          <w:rStyle w:val="FootnoteReference"/>
        </w:rPr>
        <w:footnoteReference w:id="16"/>
      </w:r>
      <w:r>
        <w:t xml:space="preserve">. Inni badacze również odnotowują, że XV-wieczne teksty przedstawiały Romów jako cudzoziemców, włóczęgów, „brzydkich ludzi o skórze spalonej przez słońce na czarno”</w:t>
      </w:r>
      <w:r>
        <w:rPr>
          <w:rStyle w:val="FootnoteReference"/>
        </w:rPr>
        <w:footnoteReference w:id="17"/>
      </w:r>
      <w:r>
        <w:t xml:space="preserve"> </w:t>
      </w:r>
      <w:r>
        <w:t xml:space="preserve">i „szpetnych z wyglądu, czarnych jak Tatarzy”</w:t>
      </w:r>
      <w:r>
        <w:rPr>
          <w:rStyle w:val="FootnoteReference"/>
        </w:rPr>
        <w:footnoteReference w:id="18"/>
      </w:r>
      <w:r>
        <w:t xml:space="preserve">.</w:t>
      </w:r>
      <w:r>
        <w:t xml:space="preserve"> </w:t>
      </w:r>
      <w:commentRangeStart w:id="3"/>
      <w:commentRangeEnd w:id="3"/>
      <w:r>
        <w:rPr>
          <w:rStyle w:val="CommentReference"/>
        </w:rPr>
        <w:commentReference w:id="3"/>
      </w:r>
      <w:r>
        <w:t xml:space="preserve"> </w:t>
      </w:r>
      <w:r>
        <w:t xml:space="preserve">Opisy te podkreślały ciemną skórę Romów i przedstawiały ich jako dziwacznych, barbarzyńskich i pogańskich</w:t>
      </w:r>
      <w:r>
        <w:rPr>
          <w:rStyle w:val="FootnoteReference"/>
        </w:rPr>
        <w:footnoteReference w:id="19"/>
      </w:r>
      <w:r>
        <w:t xml:space="preserve">. Ich odmienny wygląd czynił z nich wiecznych cudzoziemców, nie-Europejczyków, cel praw wymierzonych we włóczęgostwo oraz oskarżeń o szpiegostwo i niewierność wobec świata chrześcijańskiego</w:t>
      </w:r>
      <w:r>
        <w:rPr>
          <w:rStyle w:val="FootnoteReference"/>
        </w:rPr>
        <w:footnoteReference w:id="20"/>
      </w:r>
      <w:r>
        <w:t xml:space="preserve">. Jak dowodził Edward Said</w:t>
      </w:r>
      <w:r>
        <w:rPr>
          <w:rStyle w:val="FootnoteReference"/>
        </w:rPr>
        <w:footnoteReference w:id="21"/>
      </w:r>
      <w:r>
        <w:t xml:space="preserve"> </w:t>
      </w:r>
      <w:r>
        <w:t xml:space="preserve">w</w:t>
      </w:r>
      <w:r>
        <w:t xml:space="preserve"> </w:t>
      </w:r>
      <w:r>
        <w:rPr>
          <w:i/>
          <w:iCs/>
        </w:rPr>
        <w:t xml:space="preserve">Orientalizmie</w:t>
      </w:r>
      <w:r>
        <w:t xml:space="preserve"> </w:t>
      </w:r>
      <w:r>
        <w:t xml:space="preserve">(</w:t>
      </w:r>
      <w:r>
        <w:rPr>
          <w:i/>
          <w:iCs/>
        </w:rPr>
        <w:t xml:space="preserve">Orientalism</w:t>
      </w:r>
      <w:r>
        <w:t xml:space="preserve">), europejskie mocarstwa kolonialne tworzyły wyobrażone geografie, które przedstawiały „innego” jako moralnie i kulturowo niższego, aby uzasadnić kontrolę i wykluczenie. Podobnie Romów przedstawiano jako wewnętrznych outsiderów – wykorzenionych, obcych i moralnie podejrzanych – w obrębie własnych granic Europy, sięgając po logiki orientalistyczne, by uzasadnić przemoc prawną i wykluczenie rasowe.</w:t>
      </w:r>
    </w:p>
    <w:p>
      <w:pPr>
        <w:pStyle w:val="BodyText"/>
      </w:pPr>
      <w:r>
        <w:t xml:space="preserve">Historie te potwierdzają tezę Cedrica Robinsona</w:t>
      </w:r>
      <w:r>
        <w:rPr>
          <w:rStyle w:val="FootnoteReference"/>
        </w:rPr>
        <w:footnoteReference w:id="22"/>
      </w:r>
      <w:r>
        <w:t xml:space="preserve">, że wynalezienie rasy dokonało się w obrębie Europy, zanim doszło do spotkań Europejczyków z ludami Afryki i „Nowego Świata”. Rasizm wyrósł z „»wewnętrznych« relacji ludów europejskich” oraz z konstruktu „barbarzyńców”, stworzonego przez zachodnioeuropejską szlachtę feudalną</w:t>
      </w:r>
      <w:r>
        <w:rPr>
          <w:rStyle w:val="FootnoteReference"/>
        </w:rPr>
        <w:footnoteReference w:id="23"/>
      </w:r>
      <w:r>
        <w:t xml:space="preserve">. Konstrukt ten, podsycany lękiem przed „Murzynami” i demonizacją islamu, położył podwaliny pod „rozciągnięcie niewolnictwa i zastosowanie rasizmu wobec ludów nieeuropejskich jako struktury organizującej – najpierw przez rządzące warstwy feudalne, a następnie przez burżuazje XIV, XV i XVI wieku”</w:t>
      </w:r>
      <w:r>
        <w:rPr>
          <w:rStyle w:val="FootnoteReference"/>
        </w:rPr>
        <w:footnoteReference w:id="24"/>
      </w:r>
      <w:r>
        <w:t xml:space="preserve">.</w:t>
      </w:r>
    </w:p>
    <w:p>
      <w:pPr>
        <w:pStyle w:val="BodyText"/>
      </w:pPr>
      <w:r>
        <w:t xml:space="preserve">Wielu badaczy</w:t>
      </w:r>
      <w:r>
        <w:rPr>
          <w:rStyle w:val="FootnoteReference"/>
        </w:rPr>
        <w:footnoteReference w:id="25"/>
      </w:r>
      <w:r>
        <w:t xml:space="preserve"> </w:t>
      </w:r>
      <w:r>
        <w:t xml:space="preserve">podkreśla ponadto przełomowe znaczenie wypędzenia Żydów i muzułmanów z Hiszpanii w 1492 roku dla wytworzenia różnicy rasowej/ ludzkiej. Ella Shohat i Robert Stam</w:t>
      </w:r>
      <w:r>
        <w:rPr>
          <w:rStyle w:val="FootnoteReference"/>
        </w:rPr>
        <w:footnoteReference w:id="26"/>
      </w:r>
      <w:r>
        <w:t xml:space="preserve"> </w:t>
      </w:r>
      <w:r>
        <w:t xml:space="preserve">piszą o „dwóch latach 1492”, kiedy podbój „Nowego Świata” zbiegł się z tym wypędzeniem. Dowodzą, że chrześcijańska demonologia, inkwizycyjna zasada czystości krwi (</w:t>
      </w:r>
      <w:r>
        <w:rPr>
          <w:i/>
          <w:iCs/>
        </w:rPr>
        <w:t xml:space="preserve">limpieza de sangre</w:t>
      </w:r>
      <w:r>
        <w:t xml:space="preserve">) i wypędzenie „nadały ton urasowionemu kolonializmowi, wyposażając konkwistadorów w gotowy aparat pojęciowy, który można było rozciągnąć na obie Ameryki”, dostarczając „wzorca czystek etniczno-religijnych i tworzenia innych państw rasowych”</w:t>
      </w:r>
      <w:r>
        <w:rPr>
          <w:rStyle w:val="FootnoteReference"/>
        </w:rPr>
        <w:footnoteReference w:id="27"/>
      </w:r>
      <w:r>
        <w:t xml:space="preserve">.</w:t>
      </w:r>
    </w:p>
    <w:p>
      <w:pPr>
        <w:pStyle w:val="BodyText"/>
      </w:pPr>
      <w:r>
        <w:t xml:space="preserve">Sylvia Wynter</w:t>
      </w:r>
      <w:r>
        <w:rPr>
          <w:rStyle w:val="FootnoteReference"/>
        </w:rPr>
        <w:footnoteReference w:id="28"/>
      </w:r>
      <w:r>
        <w:t xml:space="preserve"> </w:t>
      </w:r>
      <w:r>
        <w:t xml:space="preserve">zwraca uwagę zwłaszcza na zmianę „głównej figury Innego” dla tożsamości chrześcijańskiej wraz z powstaniem w 1492 roku nowożytnego państwa hiszpańskiego, które dążyło do unifikacji religijnej. Nawrócenie na chrześcijaństwo stało się kluczowe dla ustanowienia „normatywnego podmiotu hiszpańskiego religijno-politycznego państwa monarchicznego jako podmiotu »czystego«, a zatem racjonalnego”, co zastąpiło wcześniejsze skupienie na zbawieniu duchowym</w:t>
      </w:r>
      <w:r>
        <w:rPr>
          <w:rStyle w:val="FootnoteReference"/>
        </w:rPr>
        <w:footnoteReference w:id="29"/>
      </w:r>
      <w:r>
        <w:t xml:space="preserve">. Z kolei „czarny Inny” miał fundamentalne znaczenie „dla konstruowania Europejczyków jako rasowo »czystych«, świeckich podmiotów”</w:t>
      </w:r>
      <w:r>
        <w:rPr>
          <w:rStyle w:val="FootnoteReference"/>
        </w:rPr>
        <w:footnoteReference w:id="30"/>
      </w:r>
      <w:r>
        <w:t xml:space="preserve">. Wynter wyjaśnia, jak wczesne konstrukcje „czystości wiary”, egzekwowanej przez nawracanie Żydów i muzułmanów, przekształciły się w metaforę „czystości krwi”, prowadząc do rasizmu biologicznego i naukowego. Wraz z ekspansją Europy w XV wieku „Murzyn” zaczął zastępować Żydów i muzułmańskich Maurów jako główny Inny. W XVI wieku wyłaniająca się, projektowana taksonomia ludzka umieściła „Murzyna” na samym dole</w:t>
      </w:r>
      <w:r>
        <w:rPr>
          <w:rStyle w:val="FootnoteReference"/>
        </w:rPr>
        <w:footnoteReference w:id="31"/>
      </w:r>
      <w:r>
        <w:t xml:space="preserve">. Co istotne, choć wywód Wynter odzwierciedla szersze przemiany w myśli zachodnioeuropejskiej, trzeba dalej badać, jak takie przesunięcia działały – albo napotykały opór – w intelektualnych i politycznych kontekstach Europy Wschodniej, co może ujawnić odmienne chronologie czy logiki rasowe.</w:t>
      </w:r>
    </w:p>
    <w:p>
      <w:pPr>
        <w:pStyle w:val="BodyText"/>
      </w:pPr>
      <w:r>
        <w:t xml:space="preserve">Na urasowienie Romów wpłynął także XV-wieczny kolonializm zachodni, a wraz z nim złożone relacje między imperiami „wschodnimi”. Ian Law odnotowuje, że rasizm antyromski wyrósł z „wczesnego kojarzenia Romów z zagrożeniem islamskim” oraz „utożsamiania koloru skóry Romów z ciemnością, grzechem, brudem i złem, połączonego z oskarżeniami, że są szpiegami, roznosicielami zarazy i zdrajcami świata chrześcijańskiego”</w:t>
      </w:r>
      <w:r>
        <w:rPr>
          <w:rStyle w:val="FootnoteReference"/>
        </w:rPr>
        <w:footnoteReference w:id="32"/>
      </w:r>
      <w:r>
        <w:t xml:space="preserve">. Postrzeganych jako tureccy szpiedzy i niechrześcijanie Romów opisywano jako „złodziejską rasę ludzi”</w:t>
      </w:r>
      <w:r>
        <w:rPr>
          <w:rStyle w:val="FootnoteReference"/>
        </w:rPr>
        <w:footnoteReference w:id="33"/>
      </w:r>
      <w:r>
        <w:t xml:space="preserve">.</w:t>
      </w:r>
      <w:r>
        <w:t xml:space="preserve"> </w:t>
      </w:r>
      <w:commentRangeStart w:id="4"/>
      <w:commentRangeEnd w:id="4"/>
      <w:r>
        <w:rPr>
          <w:rStyle w:val="CommentReference"/>
        </w:rPr>
        <w:commentReference w:id="4"/>
      </w:r>
      <w:r>
        <w:t xml:space="preserve"> </w:t>
      </w:r>
      <w:r>
        <w:t xml:space="preserve">Zdobycie Konstantynopola przez Imperium Osmańskie w 1453 roku wzmogło w chrześcijańskiej Europie lęk przed najazdem muzułmańskim, pogarszając stosunek do Romów. Co więcej, w XV i XVI wieku zmienił się stosunek do Romów i innych wędrowców, postrzeganych odtąd jako rzekome „pasożyty społeczne” uchylające się od pracy.</w:t>
      </w:r>
    </w:p>
    <w:p>
      <w:pPr>
        <w:pStyle w:val="BodyText"/>
      </w:pPr>
      <w:r>
        <w:t xml:space="preserve">Fraser</w:t>
      </w:r>
      <w:r>
        <w:rPr>
          <w:rStyle w:val="FootnoteReference"/>
        </w:rPr>
        <w:footnoteReference w:id="34"/>
      </w:r>
      <w:r>
        <w:t xml:space="preserve"> </w:t>
      </w:r>
      <w:r>
        <w:t xml:space="preserve">ukazuje, jak od lat 40. XV wieku pogarszał się stosunek do Romów w Niemczech, sercu Świętego Cesarstwa Rzymskiego. Romom często odmawiano wstępu do niemieckich miast albo ich z nich wydalano, a Święte Cesarstwo Rzymskie wydało w latach 1497, 1498 i 1500 edykty, które oskarżały Romów o szpiegostwo na rzecz Imperium Osmańskiego i wskazywały ich jako szczególny cel wydalenia</w:t>
      </w:r>
      <w:r>
        <w:rPr>
          <w:rStyle w:val="FootnoteReference"/>
        </w:rPr>
        <w:footnoteReference w:id="35"/>
      </w:r>
      <w:r>
        <w:t xml:space="preserve">. Edykty te legitymizowały przemoc wobec Romów. Późniejsze akty zaostrzyły kary za wędrowny tryb życia. W Hiszpanii Królowie Katoliccy wydali w 1499 roku, po wypędzeniu Żydów i niedługo przed przymusowym nawróceniem muzułmanów, dekret nakazujący Romom osiedlić się i służyć miejscowemu panu albo opuścić kraj. Karol V, król Hiszpanii (1516–1556), później cesarz rzymski (1519–1556) i jedna z czołowych postaci rosnącego w siłę rodu Habsburgów, wielokrotnie odnawiał te przepisy i nakazywał zsyłać na galery Romów, którzy się nie osiedlili ani nie opuścili kraju. Uporczywym „recydywistom” groziło zniewolenie (</w:t>
      </w:r>
      <w:r>
        <w:rPr>
          <w:i/>
          <w:iCs/>
        </w:rPr>
        <w:t xml:space="preserve">enslavement</w:t>
      </w:r>
      <w:r>
        <w:t xml:space="preserve">)</w:t>
      </w:r>
      <w:r>
        <w:rPr>
          <w:rStyle w:val="FootnoteReference"/>
        </w:rPr>
        <w:footnoteReference w:id="36"/>
      </w:r>
      <w:r>
        <w:t xml:space="preserve">.</w:t>
      </w:r>
    </w:p>
    <w:p>
      <w:pPr>
        <w:pStyle w:val="BodyText"/>
      </w:pPr>
      <w:r>
        <w:t xml:space="preserve">Od połowy XVI do końca XVIII wieku mocarstwa europejskie jednolicie odpowiadały przemocą na obecność Romów</w:t>
      </w:r>
      <w:r>
        <w:rPr>
          <w:rStyle w:val="FootnoteReference"/>
        </w:rPr>
        <w:footnoteReference w:id="37"/>
      </w:r>
      <w:r>
        <w:t xml:space="preserve">. W XVI wieku kilka państw włoskich, Konfederacja Szwajcarska (1510), Anglia (1530) i Francja (1539) zakazały Romom wjazdu. Sejm Rzeszy Świętego Cesarstwa Rzymskiego nie uznawał zabójstwa Roma za przestępstwo</w:t>
      </w:r>
      <w:r>
        <w:rPr>
          <w:rStyle w:val="FootnoteReference"/>
        </w:rPr>
        <w:footnoteReference w:id="38"/>
      </w:r>
      <w:r>
        <w:t xml:space="preserve">. Wrogość wobec Romów posuwała się do odmawiania im pochówku na cmentarzach chrześcijańskich</w:t>
      </w:r>
      <w:r>
        <w:rPr>
          <w:rStyle w:val="FootnoteReference"/>
        </w:rPr>
        <w:footnoteReference w:id="39"/>
      </w:r>
      <w:r>
        <w:t xml:space="preserve">. W 1619 roku Hiszpania nakazała Romom osiedlenie się albo opuszczenie kraju pod karą śmierci</w:t>
      </w:r>
      <w:r>
        <w:rPr>
          <w:rStyle w:val="FootnoteReference"/>
        </w:rPr>
        <w:footnoteReference w:id="40"/>
      </w:r>
      <w:r>
        <w:t xml:space="preserve">. Ponadto dyskurs antyromski konstruował pogaństwo i złodziejstwo jako nieodłączne cechy romskiej egzystencji</w:t>
      </w:r>
      <w:r>
        <w:rPr>
          <w:rStyle w:val="FootnoteReference"/>
        </w:rPr>
        <w:footnoteReference w:id="41"/>
      </w:r>
      <w:r>
        <w:t xml:space="preserve">.</w:t>
      </w:r>
    </w:p>
    <w:p>
      <w:pPr>
        <w:pStyle w:val="BodyText"/>
      </w:pPr>
      <w:r>
        <w:t xml:space="preserve">Ideologie leżące u podstaw tych polityk wpłynęły na położenie Romów w Europie Wschodniej za sprawą rozmaitych zmian geohistorycznych, w tym przesunięć między formacjami imperialnymi, modernizacji, aspiracji do zbliżenia z Europą Zachodnią i rozprzestrzeniania się europejskiego oświecenia. Pozbawianie Romów praw w Europie Wschodniej przebiegało stopniowo i nierównomiernie w czasie i przestrzeni. Na przykład od XII do XV wieku Romowie mogli w całej Europie Wschodniej pracować jako kowale, muzykanci i żołnierze, a na Węgrzech licznie służyli w wojsku; król Zygmunt nadał im tam w 1423 roku przywileje podróżne</w:t>
      </w:r>
      <w:r>
        <w:rPr>
          <w:rStyle w:val="FootnoteReference"/>
        </w:rPr>
        <w:footnoteReference w:id="42"/>
      </w:r>
      <w:r>
        <w:t xml:space="preserve">. W Królestwie Polskim Romowie mogli w XV wieku posiadać ziemię lub dom i osiedlać się</w:t>
      </w:r>
      <w:r>
        <w:rPr>
          <w:rStyle w:val="FootnoteReference"/>
        </w:rPr>
        <w:footnoteReference w:id="43"/>
      </w:r>
      <w:r>
        <w:t xml:space="preserve">. Podobnie w Wielkim Księstwie Litewskim Romowie byli znani jako dobrzy kowale, stajenni, muzykanci i wróżbici</w:t>
      </w:r>
      <w:r>
        <w:rPr>
          <w:rStyle w:val="FootnoteReference"/>
        </w:rPr>
        <w:footnoteReference w:id="44"/>
      </w:r>
      <w:r>
        <w:t xml:space="preserve">.</w:t>
      </w:r>
      <w:r>
        <w:t xml:space="preserve"> </w:t>
      </w:r>
      <w:commentRangeStart w:id="5"/>
      <w:commentRangeEnd w:id="5"/>
      <w:r>
        <w:rPr>
          <w:rStyle w:val="CommentReference"/>
        </w:rPr>
        <w:commentReference w:id="5"/>
      </w:r>
      <w:r>
        <w:t xml:space="preserve"> </w:t>
      </w:r>
      <w:r>
        <w:t xml:space="preserve">Zarazem jednak przemiany społeczno-polityczne, w tym zagrożenie ze strony Osmanów i wrogość wobec Romów w Europie Zachodniej, przyczyniły się do negatywnej zmiany stosunku do Romów w Europie Środkowej i Wschodniej. W Mołdawii i na Wołoszczyźnie</w:t>
      </w:r>
      <w:r>
        <w:rPr>
          <w:rStyle w:val="FootnoteReference"/>
        </w:rPr>
        <w:footnoteReference w:id="45"/>
      </w:r>
      <w:r>
        <w:t xml:space="preserve"> </w:t>
      </w:r>
      <w:r>
        <w:t xml:space="preserve">(na terenie dzisiejszej Rumunii) Romowie byli zniewoleni od końca XIV do połowy XIX wieku</w:t>
      </w:r>
      <w:r>
        <w:rPr>
          <w:rStyle w:val="FootnoteReference"/>
        </w:rPr>
        <w:footnoteReference w:id="46"/>
      </w:r>
      <w:r>
        <w:t xml:space="preserve">. Romów zniewolonych przez klasztory i bojarów/obszarników uważano za ruchomość, podobnie jak ich dzieci</w:t>
      </w:r>
      <w:r>
        <w:rPr>
          <w:rStyle w:val="FootnoteReference"/>
        </w:rPr>
        <w:footnoteReference w:id="47"/>
      </w:r>
      <w:r>
        <w:t xml:space="preserve">. Można ich było sprzedawać i wymieniać. Dopiero na początku XIX wieku mołdawski władca Ghica zakazał odłączania zniewolonych romskich dzieci od rodziców</w:t>
      </w:r>
      <w:r>
        <w:rPr>
          <w:rStyle w:val="FootnoteReference"/>
        </w:rPr>
        <w:footnoteReference w:id="48"/>
      </w:r>
      <w:r>
        <w:t xml:space="preserve">.</w:t>
      </w:r>
    </w:p>
    <w:p>
      <w:pPr>
        <w:pStyle w:val="BodyText"/>
      </w:pPr>
      <w:r>
        <w:t xml:space="preserve">Klęska wojsk węgierskich w starciu z Turcją pod Mohaczem w 1526 roku i późniejsza ekspansja osmańska w Europie Środkowej i Wschodniej wzmogły lęk przed postępami muzułmanów w Europie, zmieniając nastawienie społeczne wobec Romów w regionie</w:t>
      </w:r>
      <w:r>
        <w:rPr>
          <w:rStyle w:val="FootnoteReference"/>
        </w:rPr>
        <w:footnoteReference w:id="49"/>
      </w:r>
      <w:r>
        <w:t xml:space="preserve">. Postrzegani jako tureccy szpiedzy, Romowie stawali się przedmiotem restrykcyjnych polityk. Na przykład na habsburskich Węgrzech Królewskich w XV wieku Romów coraz bardziej oddzielano od węgierskich chłopów i ograniczano do mniej dochodowego rzemiosła. Ich sytuacja pogorszyła się w XVII i XVIII wieku, gdy cesarz habsburski wprowadził na początku XVIII wieku w posiadłościach habsburskich ograniczenia wjazdu i surowe kary dla Romów</w:t>
      </w:r>
      <w:r>
        <w:rPr>
          <w:rStyle w:val="FootnoteReference"/>
        </w:rPr>
        <w:footnoteReference w:id="50"/>
      </w:r>
      <w:r>
        <w:t xml:space="preserve">. Pod koniec XVIII wieku habsburska cesarzowa Maria Teresa zmieniła politykę wobec Romów z fizycznej eksterminacji na przymusową asymilację</w:t>
      </w:r>
      <w:r>
        <w:rPr>
          <w:rStyle w:val="FootnoteReference"/>
        </w:rPr>
        <w:footnoteReference w:id="51"/>
      </w:r>
      <w:r>
        <w:t xml:space="preserve">.</w:t>
      </w:r>
    </w:p>
    <w:p>
      <w:pPr>
        <w:pStyle w:val="BodyText"/>
      </w:pPr>
      <w:r>
        <w:t xml:space="preserve">Mróz</w:t>
      </w:r>
      <w:r>
        <w:rPr>
          <w:rStyle w:val="FootnoteReference"/>
        </w:rPr>
        <w:footnoteReference w:id="52"/>
      </w:r>
      <w:r>
        <w:t xml:space="preserve"> </w:t>
      </w:r>
      <w:r>
        <w:t xml:space="preserve">zwraca uwagę na gwałtowną zmianę postrzegania Romów w Polsce od połowy XVI wieku. Wśród ziem sąsiednich najwcześniejszy dekret wydalający Romów wydano w 1538 roku na Morawach (należących wówczas do austriackich posiadłości Habsburgów), a w 1557 roku przyszły represyjne prawa w Polsce</w:t>
      </w:r>
      <w:r>
        <w:rPr>
          <w:rStyle w:val="FootnoteReference"/>
        </w:rPr>
        <w:footnoteReference w:id="53"/>
      </w:r>
      <w:r>
        <w:t xml:space="preserve">. Konstytucja sejmowa z 1578 roku ścigała tych, którzy udzielali schronienia (wędrownym) Romom. Około 1557 roku zmienił się także ton listów zezwalających Romom na wędrówkę: zniknęła z nich wszelka wzmianka o misji religijnej, nałożonej przez papieża dla odbycia pokuty</w:t>
      </w:r>
      <w:r>
        <w:rPr>
          <w:rStyle w:val="FootnoteReference"/>
        </w:rPr>
        <w:footnoteReference w:id="54"/>
      </w:r>
      <w:r>
        <w:t xml:space="preserve">. Ponadto najpóźniej w połowie XVI wieku, a może nawet wcześniej, ciemna skóra i włosy stały się cechami wyróżniającymi, po których rozpoznawano Romów</w:t>
      </w:r>
      <w:r>
        <w:rPr>
          <w:rStyle w:val="FootnoteReference"/>
        </w:rPr>
        <w:footnoteReference w:id="55"/>
      </w:r>
      <w:r>
        <w:t xml:space="preserve">.</w:t>
      </w:r>
    </w:p>
    <w:p>
      <w:pPr>
        <w:pStyle w:val="BodyText"/>
      </w:pPr>
      <w:r>
        <w:t xml:space="preserve">W Wielkim Księstwie Litewskim stosunek do Romów również zmienił się pod koniec XVI wieku</w:t>
      </w:r>
      <w:r>
        <w:rPr>
          <w:rStyle w:val="FootnoteReference"/>
        </w:rPr>
        <w:footnoteReference w:id="56"/>
      </w:r>
      <w:r>
        <w:t xml:space="preserve">. Nakaz z 1566 roku stanowił, że Romowie, którzy nie chcą opuścić kraju, muszą osiedlić się w dobrach szlacheckich i służyć właścicielom ziemskim. III Statut litewski (1588) potwierdził wydalenie wszystkich ludzi wędrownych, w tym Romów, z powodu podejrzeń o szpiegostwo</w:t>
      </w:r>
      <w:r>
        <w:rPr>
          <w:rStyle w:val="FootnoteReference"/>
        </w:rPr>
        <w:footnoteReference w:id="57"/>
      </w:r>
      <w:r>
        <w:t xml:space="preserve">. Źródła wskazują zarazem, że niektóre romskie rodziny i grupy prowadziły osiadły tryb życia, pracowały jako rzemieślnicy i służba i w XVI i XVII wieku uległy znacznej asymilacji</w:t>
      </w:r>
      <w:r>
        <w:rPr>
          <w:rStyle w:val="FootnoteReference"/>
        </w:rPr>
        <w:footnoteReference w:id="58"/>
      </w:r>
      <w:r>
        <w:t xml:space="preserve">. W XVII wieku Romów w Rzeczypospolitej Obojga Narodów coraz częściej określano jako niegodnych zaufania i potępiano za wędrowny tryb życia</w:t>
      </w:r>
      <w:r>
        <w:rPr>
          <w:rStyle w:val="FootnoteReference"/>
        </w:rPr>
        <w:footnoteReference w:id="59"/>
      </w:r>
      <w:r>
        <w:t xml:space="preserve">. W XVIII wieku coraz powszechniej postrzegano ich jako złodziei i przestępców, co podsycało wrogość i przemoc wobec nich</w:t>
      </w:r>
      <w:r>
        <w:rPr>
          <w:rStyle w:val="FootnoteReference"/>
        </w:rPr>
        <w:footnoteReference w:id="60"/>
      </w:r>
      <w:r>
        <w:t xml:space="preserve">.</w:t>
      </w:r>
    </w:p>
    <w:p>
      <w:pPr>
        <w:pStyle w:val="BodyText"/>
      </w:pPr>
      <w:r>
        <w:t xml:space="preserve">Podkreślając wpływ europejskiego oświecenia i imperialnej „inspiracji myślenia rasowego”</w:t>
      </w:r>
      <w:r>
        <w:rPr>
          <w:rStyle w:val="FootnoteReference"/>
        </w:rPr>
        <w:footnoteReference w:id="61"/>
      </w:r>
      <w:r>
        <w:t xml:space="preserve">, badacze wskazują przymusowe osiedlanie i asymilację w XVIII wieku jako kluczowe dla kształtującej się polityki wobec Romów w Europie Wschodniej</w:t>
      </w:r>
      <w:r>
        <w:rPr>
          <w:rStyle w:val="FootnoteReference"/>
        </w:rPr>
        <w:footnoteReference w:id="62"/>
      </w:r>
      <w:r>
        <w:t xml:space="preserve">. Działania te miały rozbić wspólnotowe więzi i sposoby życia Romów, a ich skutki były niszczycielskie</w:t>
      </w:r>
      <w:r>
        <w:rPr>
          <w:rStyle w:val="FootnoteReference"/>
        </w:rPr>
        <w:footnoteReference w:id="63"/>
      </w:r>
      <w:r>
        <w:t xml:space="preserve">. Historycy odnotowują na przykład wpływ praw państw sąsiednich (zwłaszcza Austrii) na imperialną politykę Rosji zmierzającą do osiedlenia Romów</w:t>
      </w:r>
      <w:r>
        <w:rPr>
          <w:rStyle w:val="FootnoteReference"/>
        </w:rPr>
        <w:footnoteReference w:id="64"/>
      </w:r>
      <w:r>
        <w:t xml:space="preserve">. Katarzyna II, pochodząca z Niemiec cesarzowa Wszechrosji (1762–1796), przyjęła ideały oświecenia i prowadziła modernizację na wzór zachodnioeuropejski, kontynuując reformy Piotra I</w:t>
      </w:r>
      <w:r>
        <w:rPr>
          <w:rStyle w:val="FootnoteReference"/>
        </w:rPr>
        <w:footnoteReference w:id="65"/>
      </w:r>
      <w:r>
        <w:t xml:space="preserve">. Zetknięcie się Rosji z Romami, zapoczątkowane pod koniec XVII wieku aneksją części ziem ukraińskich Rzeczypospolitej Obojga Narodów, sprawiło, że politykę wobec Romów wypracowano tam później niż w innych krajach. Polityka ta miała jednak, obok cech swoistych, cechy wspólne z regulacjami europejskimi.</w:t>
      </w:r>
    </w:p>
    <w:p>
      <w:pPr>
        <w:pStyle w:val="BodyText"/>
      </w:pPr>
      <w:r>
        <w:t xml:space="preserve">Władcy Imperium Rosyjskiego, obawiając się wędrownego trybu życia Romów i ich rzekomo „szkodliwego” wpływu na miejscową ludność, wprowadzili środki osiedleńcze, które zmuszały Romów do pracy na roli jako chłopów. Na przykład od 1765 roku na Ukrainie Lewobrzeżnej wszystkim Romom nakazano osiąść na stałe, a koczowania zakazano</w:t>
      </w:r>
      <w:r>
        <w:rPr>
          <w:rStyle w:val="FootnoteReference"/>
        </w:rPr>
        <w:footnoteReference w:id="66"/>
      </w:r>
      <w:r>
        <w:t xml:space="preserve">. W świetle prawa Romowie zajmowali pozycję niższą niż zwykli mieszkańcy: kary za uszkodzenie ciała, zranienie lub zabójstwo Roma wynosiły połowę kar za wyrządzenie krzywdy chłopu</w:t>
      </w:r>
      <w:r>
        <w:rPr>
          <w:rStyle w:val="FootnoteReference"/>
        </w:rPr>
        <w:footnoteReference w:id="67"/>
      </w:r>
      <w:r>
        <w:t xml:space="preserve">. Na początku XIX wieku władze Imperium Rosyjskiego postanowiły osiedlać Romów na ziemiach państwowych, by uprawiali rolę i hodowali bydło, a tych, którzy przebywali na ziemiach prywatnych lub państwowych, wpisywać w poczet chłopów pańszczyźnianych. Akty przeciwko włóczęgostwu z lat 1809, 1811, 1818 i 1839 wymierzone były w koczujących Romów i przewidywały między innymi karę zesłania na Syberię</w:t>
      </w:r>
      <w:r>
        <w:rPr>
          <w:rStyle w:val="FootnoteReference"/>
        </w:rPr>
        <w:footnoteReference w:id="68"/>
      </w:r>
      <w:r>
        <w:t xml:space="preserve">. Polityka ta traktowała wszystkich Romów jako włóczęgów i zbiegłych chłopów pańszczyźnianych/chłopów</w:t>
      </w:r>
      <w:r>
        <w:rPr>
          <w:rStyle w:val="FootnoteReference"/>
        </w:rPr>
        <w:footnoteReference w:id="69"/>
      </w:r>
      <w:r>
        <w:t xml:space="preserve">.</w:t>
      </w:r>
    </w:p>
    <w:p>
      <w:pPr>
        <w:pStyle w:val="BodyText"/>
      </w:pPr>
      <w:r>
        <w:t xml:space="preserve">Po przyłączeniu Besarabii do Imperium Rosyjskiego w 1812 roku rząd wprowadził środki mające poprawić położenie Romów zniewolonych przez państwo (Koronę) i ściągać od nich podatki. Rząd rosyjski nie zmienił jednak sytuacji Romów zniewolonych przez bojarów i klasztory, pozostawiając ich panom kontrolę nad nimi</w:t>
      </w:r>
      <w:r>
        <w:rPr>
          <w:rStyle w:val="FootnoteReference"/>
        </w:rPr>
        <w:footnoteReference w:id="70"/>
      </w:r>
      <w:r>
        <w:t xml:space="preserve">. Imperium zmusiło wędrownych Romów – z których wielu było wcześniej zniewolonych przez Koronę albo zbiegło z niewoli w księstwach rumuńskich – do osiedlenia się jako chłopi i poddani państwowi, zamieniając w ten sposób jedną formę wyzysku na inną</w:t>
      </w:r>
      <w:r>
        <w:rPr>
          <w:rStyle w:val="FootnoteReference"/>
        </w:rPr>
        <w:footnoteReference w:id="71"/>
      </w:r>
      <w:r>
        <w:t xml:space="preserve">.</w:t>
      </w:r>
    </w:p>
    <w:p>
      <w:pPr>
        <w:pStyle w:val="BodyText"/>
      </w:pPr>
      <w:r>
        <w:t xml:space="preserve">Również Związek Sowiecki narzucił Romom politykę przymusowego osiedlania, próbując włączyć ich w rolniczą i przemysłową siłę roboczą</w:t>
      </w:r>
      <w:r>
        <w:rPr>
          <w:rStyle w:val="FootnoteReference"/>
        </w:rPr>
        <w:footnoteReference w:id="72"/>
      </w:r>
      <w:r>
        <w:t xml:space="preserve">. W 1956 roku państwo przyjęło przepisy, na mocy których Romów skazywano na pięć lat pracy przymusowej za „włóczęgostwo” i „pasożytniczy tryb życia”. Przepisy te skłaniały Romów do ukrywania swojej etniczności</w:t>
      </w:r>
      <w:r>
        <w:rPr>
          <w:rStyle w:val="FootnoteReference"/>
        </w:rPr>
        <w:footnoteReference w:id="73"/>
      </w:r>
      <w:r>
        <w:t xml:space="preserve">.</w:t>
      </w:r>
    </w:p>
    <w:p>
      <w:pPr>
        <w:pStyle w:val="BodyText"/>
      </w:pPr>
      <w:r>
        <w:t xml:space="preserve">Rozwój i rozprzestrzenianie się logik rasowych ponad granicami utrwalały więc marginalizację Romów w Europie Wschodniej na początku XX wieku, gdzie nadal doświadczali oni przemocy</w:t>
      </w:r>
      <w:r>
        <w:rPr>
          <w:rStyle w:val="FootnoteReference"/>
        </w:rPr>
        <w:footnoteReference w:id="74"/>
      </w:r>
      <w:r>
        <w:t xml:space="preserve">. Zrozumienie tych dynamik historycznych jest kluczowe dla uchwycenia związków między współczesną przemocą rasową w Europie Wschodniej, wytwarzaniem rasy a europejskim kolonializmem. W następnej części przyglądam się temu, jak w okresie oświecenia kształtowała się wiedza o Romach, zakorzeniona we wcześniejszych tekstach. Ten korpus wiedzy rzuca też światło na obieg logik rasowych.</w:t>
      </w:r>
    </w:p>
    <w:p>
      <w:pPr>
        <w:pStyle w:val="Heading1"/>
      </w:pPr>
      <w:r>
        <w:t xml:space="preserve">2. Logiki antyczarności</w:t>
      </w:r>
    </w:p>
    <w:p>
      <w:pPr>
        <w:pStyle w:val="FirstParagraph"/>
      </w:pPr>
      <w:r>
        <w:t xml:space="preserve">W 1783 roku Heinrich Moritz Gottlieb Grellmann opublikował</w:t>
      </w:r>
      <w:r>
        <w:t xml:space="preserve"> </w:t>
      </w:r>
      <w:r>
        <w:rPr>
          <w:i/>
          <w:iCs/>
        </w:rPr>
        <w:t xml:space="preserve">Die Zigeuner</w:t>
      </w:r>
      <w:r>
        <w:t xml:space="preserve"> </w:t>
      </w:r>
      <w:r>
        <w:t xml:space="preserve">[</w:t>
      </w:r>
      <w:r>
        <w:rPr>
          <w:i/>
          <w:iCs/>
        </w:rPr>
        <w:t xml:space="preserve">Dissertation on the Gipseys</w:t>
      </w:r>
      <w:r>
        <w:t xml:space="preserve">], książkę o Romach w Europie</w:t>
      </w:r>
      <w:r>
        <w:rPr>
          <w:rStyle w:val="FootnoteReference"/>
        </w:rPr>
        <w:footnoteReference w:id="75"/>
      </w:r>
      <w:r>
        <w:t xml:space="preserve">. Położyła ona podwaliny pod długotrwałe urasowienie i homogenizację Romów, przyczyniając się do tego, że wytwarzanie rasy stało się częścią kulturowego zdrowego rozsądku. Grellmann, jeden z pierwszych uczonych oświecenia, którzy badali języki romskie, uznał, że Romowie pochodzą z Indii, co miało rzekomo tłumaczyć ich „przywary”. Opowiadał się za oświeceniowymi interwencjami, które miały „zreformować” Romów i włączyć ich do „cywilizowanego” społeczeństwa. Szeroko rozpowszechniane i tłumaczone dzieło Grellmanna stało się autorytatywnym tekstem o Romach, wysoko cenionym przez etnografów, historyków, językoznawców i filozofów</w:t>
      </w:r>
      <w:r>
        <w:rPr>
          <w:rStyle w:val="FootnoteReference"/>
        </w:rPr>
        <w:footnoteReference w:id="76"/>
      </w:r>
      <w:r>
        <w:t xml:space="preserve">. Grellmann wywarł głęboki wpływ, ustanawiając fundamentalny zestaw wyobrażeń o Romach, który nieprzerwanie utrzymywał się w publikacjach kolejnych stuleci, aż po dzień dzisiejszy</w:t>
      </w:r>
      <w:r>
        <w:rPr>
          <w:rStyle w:val="FootnoteReference"/>
        </w:rPr>
        <w:footnoteReference w:id="77"/>
      </w:r>
      <w:r>
        <w:t xml:space="preserve">.</w:t>
      </w:r>
    </w:p>
    <w:p>
      <w:pPr>
        <w:pStyle w:val="BodyText"/>
      </w:pPr>
      <w:r>
        <w:t xml:space="preserve">Na przykład w 1794 roku ukazał się w Rosji obszerny esej o pochodzeniu Romów, streszczający pracę Grellmanna o romskich obyczajach i sposobie życia</w:t>
      </w:r>
      <w:r>
        <w:rPr>
          <w:rStyle w:val="FootnoteReference"/>
        </w:rPr>
        <w:footnoteReference w:id="78"/>
      </w:r>
      <w:r>
        <w:t xml:space="preserve">. Etnografowie Imperium Rosyjskiego powtarzali za Grellmannem, że Romowie mają wrodzoną skłonność do kradzieży i nie chcą pracować</w:t>
      </w:r>
      <w:r>
        <w:rPr>
          <w:rStyle w:val="FootnoteReference"/>
        </w:rPr>
        <w:footnoteReference w:id="79"/>
      </w:r>
      <w:r>
        <w:t xml:space="preserve">. W 1804 roku Grellmann był profesorem historii powszechnej i statystyki na Uniwersytecie Moskiewskim</w:t>
      </w:r>
      <w:r>
        <w:rPr>
          <w:rStyle w:val="FootnoteReference"/>
        </w:rPr>
        <w:footnoteReference w:id="80"/>
      </w:r>
      <w:r>
        <w:t xml:space="preserve">. Rosyjska inteligencja otaczała go wielką czcią. Przykład wędrówki dzieła Grellmanna ilustruje obieg idei i logik, w tym dotyczących rasy i tego, co stanowi o (cywilizowanym) człowieku. W swoich dociekaniach Grellmann opierał się także na pracach z Europy Środkowej i Południowo-Wschodniej.</w:t>
      </w:r>
    </w:p>
    <w:p>
      <w:pPr>
        <w:pStyle w:val="BodyText"/>
      </w:pPr>
      <w:r>
        <w:t xml:space="preserve">Grellmann należał do getyńskiej szkoły historii pragmatycznej</w:t>
      </w:r>
      <w:r>
        <w:rPr>
          <w:rStyle w:val="FootnoteReference"/>
        </w:rPr>
        <w:footnoteReference w:id="81"/>
      </w:r>
      <w:r>
        <w:t xml:space="preserve">. Studiował i wykładał w Getyndze, którą „w latach 80. XVIII wieku uważano za akademickie centrum niemieckiego oświecenia”</w:t>
      </w:r>
      <w:r>
        <w:rPr>
          <w:rStyle w:val="FootnoteReference"/>
        </w:rPr>
        <w:footnoteReference w:id="82"/>
      </w:r>
      <w:r>
        <w:t xml:space="preserve">. Jego praca o Romach odzwierciedlała dominujące poglądy oświecenia i zbiegła się z narodzinami dyscyplin naukowych. Odnosząc się do książki Grellmanna, romski badacz Ian Hancock stwierdza:</w:t>
      </w:r>
    </w:p>
    <w:p>
      <w:pPr>
        <w:pStyle w:val="BlockText"/>
      </w:pPr>
      <w:r>
        <w:t xml:space="preserve">[…] potrzeba skategoryzowania roślin i zwierząt napotykanych w nowych europejskich koloniach zamorskich szybko objęła również klasyfikację pozaeuropejskich populacji ludzkich, a wiek XIX przyniósł mnóstwo rozpraw poświęconych „rasie” i hierarchizacji grup ludzkich</w:t>
      </w:r>
      <w:r>
        <w:rPr>
          <w:rStyle w:val="FootnoteReference"/>
        </w:rPr>
        <w:footnoteReference w:id="83"/>
      </w:r>
      <w:r>
        <w:t xml:space="preserve">.</w:t>
      </w:r>
    </w:p>
    <w:p>
      <w:pPr>
        <w:pStyle w:val="FirstParagraph"/>
      </w:pPr>
      <w:r>
        <w:t xml:space="preserve">Badając Rzeczpospolitą Obojga Narodów, Mróz zwraca na przykład uwagę na przewrót intelektualny w Europie końca XVIII wieku, który uczynił ten okres „czasem fundamentalnej przemiany”, także w myśleniu o Romach i polityce wobec nich</w:t>
      </w:r>
      <w:r>
        <w:rPr>
          <w:rStyle w:val="FootnoteReference"/>
        </w:rPr>
        <w:footnoteReference w:id="84"/>
      </w:r>
      <w:r>
        <w:t xml:space="preserve">.</w:t>
      </w:r>
      <w:r>
        <w:t xml:space="preserve"> </w:t>
      </w:r>
      <w:commentRangeStart w:id="8"/>
      <w:commentRangeEnd w:id="8"/>
      <w:r>
        <w:rPr>
          <w:rStyle w:val="CommentReference"/>
        </w:rPr>
        <w:commentReference w:id="8"/>
      </w:r>
    </w:p>
    <w:p>
      <w:pPr>
        <w:pStyle w:val="BodyText"/>
      </w:pPr>
      <w:r>
        <w:t xml:space="preserve">Twierdząc, że tworzy pierwsze całościowe dzieło o Romach, Grellmann</w:t>
      </w:r>
      <w:r>
        <w:rPr>
          <w:rStyle w:val="FootnoteReference"/>
        </w:rPr>
        <w:footnoteReference w:id="85"/>
      </w:r>
      <w:r>
        <w:t xml:space="preserve"> </w:t>
      </w:r>
      <w:r>
        <w:t xml:space="preserve">dokonał syntezy wcześniejszych wyobrażeń o nich, utrwalając ich uinnienie (</w:t>
      </w:r>
      <w:r>
        <w:rPr>
          <w:i/>
          <w:iCs/>
        </w:rPr>
        <w:t xml:space="preserve">othering</w:t>
      </w:r>
      <w:r>
        <w:t xml:space="preserve">) przez przedstawianie ich jako złych, pogańskich, irracjonalnych, leniwych, niecywilizowanych, niechętnych do pracy i dzikich. Jego książka nakreśliła swego rodzaju archetyp Roma, który „utrzymywał się przez stulecia, dopuszczając jedynie drobne odmiany, i nikt nigdy nie zakwestionował historycznej wartości tego portretu”</w:t>
      </w:r>
      <w:r>
        <w:rPr>
          <w:rStyle w:val="FootnoteReference"/>
        </w:rPr>
        <w:footnoteReference w:id="86"/>
      </w:r>
      <w:r>
        <w:t xml:space="preserve">. Grellmann obficie czerpał z serii artykułów o Romach węgierskich i siedmiogrodzkich, napisanych przez protestanckiego duchownego i uczonego węgierskiego pochodzenia Sámuela Augustiniego ab Hortis, pomijając ich niuanse i uogólniając jego ustalenia na wszystkie grupy romskie</w:t>
      </w:r>
      <w:r>
        <w:rPr>
          <w:rStyle w:val="FootnoteReference"/>
        </w:rPr>
        <w:footnoteReference w:id="87"/>
      </w:r>
      <w:r>
        <w:t xml:space="preserve">. Duchowny ten dążył do „ucywilizowania” Romów i uczynienia z nich dobrych chrześcijan. Ponadto Grellmann był gorącym zwolennikiem oświeceniowych reform wobec Romów, zwłaszcza polityki asymilacyjnej austro-węgierskich władców Marii Teresy i Józefa II.</w:t>
      </w:r>
    </w:p>
    <w:p>
      <w:pPr>
        <w:pStyle w:val="BodyText"/>
      </w:pPr>
      <w:r>
        <w:t xml:space="preserve">Grellmann podkreśla przypisywaną Europejczykom zdolność do cywilizowania nie-Europejczyków i przeprowadza analogię między Romami a zniewolonymi Afrykanami. Odniesienia do Romów jako „czarnych” poprzedzają jednak dzieło Grellmanna. Już przed XVI wiekiem retoryka kolonialna nazywała Romów zewnętrznymi „rasowymi innymi” – niebiałymi, nieeuropejskimi, niecywilizowanymi i dzikimi</w:t>
      </w:r>
      <w:r>
        <w:rPr>
          <w:rStyle w:val="FootnoteReference"/>
        </w:rPr>
        <w:footnoteReference w:id="88"/>
      </w:r>
      <w:r>
        <w:t xml:space="preserve">. Romów nie tylko opisywano jako ciemnoskórych, śniadych czy czarnych; w relacjach z podróży, kronikach i innych pismach ludzi Zachodu, którzy najwyraźniej odczuwali potrzebę dopatrywania się podobieństwa do czarności (</w:t>
      </w:r>
      <w:r>
        <w:rPr>
          <w:i/>
          <w:iCs/>
        </w:rPr>
        <w:t xml:space="preserve">Blackness</w:t>
      </w:r>
      <w:r>
        <w:t xml:space="preserve">), innych cech fizycznych i charakteru Afrykanów, porównywano ich także z Afrykanami. Z tego podobieństwa autorzy wyprowadzali wnioski o irracjonalności i „niecywilizowanej naturze” Romów, spychając ich na archipelag ludzkiej Inności.</w:t>
      </w:r>
    </w:p>
    <w:p>
      <w:pPr>
        <w:pStyle w:val="BodyText"/>
      </w:pPr>
      <w:r>
        <w:t xml:space="preserve">Co istotne, Grellmann rozwijał swoje idee pod koniec XVIII wieku, u szczytu transatlantyckiego handlu niewolnikami i europejskiej ekspansji kolonialnej, które przyczyniły się do ponownego zapisania człowieka w kategoriach biologicznych i zarazem temu towarzyszyły. Sylvia Wynter</w:t>
      </w:r>
      <w:r>
        <w:rPr>
          <w:rStyle w:val="FootnoteReference"/>
        </w:rPr>
        <w:footnoteReference w:id="89"/>
      </w:r>
      <w:r>
        <w:t xml:space="preserve"> </w:t>
      </w:r>
      <w:r>
        <w:t xml:space="preserve">dowodzi, że nadreprezentacja (zachodnio)europejskiej koncepcji „Człowieka” (</w:t>
      </w:r>
      <w:r>
        <w:rPr>
          <w:i/>
          <w:iCs/>
        </w:rPr>
        <w:t xml:space="preserve">Man</w:t>
      </w:r>
      <w:r>
        <w:t xml:space="preserve">) jako człowieczeństwa (</w:t>
      </w:r>
      <w:r>
        <w:rPr>
          <w:i/>
          <w:iCs/>
        </w:rPr>
        <w:t xml:space="preserve">the Human</w:t>
      </w:r>
      <w:r>
        <w:t xml:space="preserve">) jako takiego stanowiła fundament europejskiej nowoczesności od XV/XVI wieku. Koncepcja ta, mająca w swoim rdzeniu różnicę rasową i kolonialną, służy zabezpieczeniu interesów i dobrostanu (zachodnio)europejskiego Człowieka oraz usankcjonowaniu podporządkowania ludzkich „innych”. Europejska nowoczesność i jej porządek społeczny, które wywarły namacalny wpływ na cały świat, zabezpieczyły „wzlot Zachodu” i ustanowiły myśl zachodnią jako najbardziej oświeconą, nowoczesną i postępową. Ten europocentryczny światopogląd, wzmacniany przez myślicieli oświecenia, skonstruował rasę jako narzędzie utrzymywania hierarchii ludzkiej różnicy, wiążąc wyższość z białością i europejskością, a niższość z niebiałością i nieeuropejskością.</w:t>
      </w:r>
    </w:p>
    <w:p>
      <w:pPr>
        <w:pStyle w:val="BodyText"/>
      </w:pPr>
      <w:r>
        <w:t xml:space="preserve">Wymyślona kategoria rasy stała się podstawą projektowania i przebudowy nowego, zeświecczającego się rozróżnienia na człowieka i podczłowieka. Ten „nowy sposób bycia człowiekiem” opisano na nowo jako racjonalny podmiot polityczny państwa, w miejsce człowieka jako religijnego podmiotu (chrześcijańskiego) Kościoła</w:t>
      </w:r>
      <w:r>
        <w:rPr>
          <w:rStyle w:val="FootnoteReference"/>
        </w:rPr>
        <w:footnoteReference w:id="90"/>
      </w:r>
      <w:r>
        <w:t xml:space="preserve">. Wynter dodaje, że w tej formule opisowej (</w:t>
      </w:r>
      <w:r>
        <w:rPr>
          <w:i/>
          <w:iCs/>
        </w:rPr>
        <w:t xml:space="preserve">descriptive statement</w:t>
      </w:r>
      <w:r>
        <w:t xml:space="preserve">) człowieka:</w:t>
      </w:r>
    </w:p>
    <w:p>
      <w:pPr>
        <w:pStyle w:val="BlockText"/>
      </w:pPr>
      <w:r>
        <w:t xml:space="preserve">[…] to ludy pochodzenia czarnoafrykańskiego miały zostać skonstruowane jako ostateczny punkt odniesienia „rasowo niższego” ludzkiego Innego, a cała gama innych skolonizowanych ludów o ciemnej skórze, sklasyfikowanych jako „tubylcy”, miała zostać odtąd przyswojona do tej kategorii – wszyscy oni jako rzekome ucieleśnienie nierozwiniętych, zacofanych Innych – choć w różnym stopniu – i jako takie zaprzeczenie ogólnego „normalnego człowieczeństwa”, rzekomo wyrażanego i ucieleśnianego przez ludy Zachodu</w:t>
      </w:r>
      <w:r>
        <w:rPr>
          <w:rStyle w:val="FootnoteReference"/>
        </w:rPr>
        <w:footnoteReference w:id="91"/>
      </w:r>
      <w:r>
        <w:t xml:space="preserve">.</w:t>
      </w:r>
    </w:p>
    <w:p>
      <w:pPr>
        <w:pStyle w:val="FirstParagraph"/>
      </w:pPr>
      <w:r>
        <w:t xml:space="preserve">Ta rama wyznacza czarności skrajną pozycję podczłowieczeństwa i czyni europejskiego Człowieka jedynym punktem odniesienia dla tego, co ludzkie, uniwersalnym reprezentantem „czystego rozumu”, racjonalnym i cywilizowanym podmiotem, a pozaeuropejskie sposoby bycia i myślenia przedstawia jako barbarzyńskie, niezdolne do rozumu, irracjonalne, podludzkie i niecywilizowane.</w:t>
      </w:r>
    </w:p>
    <w:p>
      <w:pPr>
        <w:pStyle w:val="BodyText"/>
      </w:pPr>
      <w:r>
        <w:t xml:space="preserve">W miarę rozwoju europejskiego kolonializmu zaabsorbowanie czarnością Afrykanów stało się widoczne w kolonialnych opisach Romów. Na przykład w 1646 roku angielski uczony Thomas Browne opisał Romów jako „sztucznych Murzynów”, przypisując ich ciemną cerę działaniu słońca</w:t>
      </w:r>
      <w:r>
        <w:rPr>
          <w:rStyle w:val="FootnoteReference"/>
        </w:rPr>
        <w:footnoteReference w:id="92"/>
      </w:r>
      <w:r>
        <w:t xml:space="preserve">. Choć nowoczesną koncepcję rasy miano dopiero wynaleźć naukowo, binarna opozycja czarne–białe stała się typowym sposobem definiowania hierarchii ludzkiej. Na przykład XVII-wieczny niemiecki filozof, prawnik i teolog Jacobus Thomasius twierdził o Romach, że „ci czarno wyglądający pogańscy cudzoziemcy, mówiący obcym językiem, nie byli w pełni ludźmi”</w:t>
      </w:r>
      <w:r>
        <w:rPr>
          <w:rStyle w:val="FootnoteReference"/>
        </w:rPr>
        <w:footnoteReference w:id="93"/>
      </w:r>
      <w:r>
        <w:t xml:space="preserve">.</w:t>
      </w:r>
      <w:r>
        <w:t xml:space="preserve"> </w:t>
      </w:r>
      <w:commentRangeStart w:id="9"/>
      <w:commentRangeEnd w:id="9"/>
      <w:r>
        <w:rPr>
          <w:rStyle w:val="CommentReference"/>
        </w:rPr>
        <w:commentReference w:id="9"/>
      </w:r>
      <w:r>
        <w:t xml:space="preserve"> </w:t>
      </w:r>
      <w:r>
        <w:t xml:space="preserve">W 1848 roku Władimir Dal, znany etnograf, leksykograf i pisarz Imperium Rosyjskiego, przedstawił Romów jako „ciemnolicych”, zestawiając „białą rosyjską twarz” z „czarną twarzą” Romów i podkreślając ich „dzikość”</w:t>
      </w:r>
      <w:r>
        <w:rPr>
          <w:rStyle w:val="FootnoteReference"/>
        </w:rPr>
        <w:footnoteReference w:id="94"/>
      </w:r>
      <w:r>
        <w:t xml:space="preserve">.</w:t>
      </w:r>
      <w:r>
        <w:t xml:space="preserve"> </w:t>
      </w:r>
      <w:commentRangeStart w:id="10"/>
      <w:commentRangeEnd w:id="10"/>
      <w:r>
        <w:rPr>
          <w:rStyle w:val="CommentReference"/>
        </w:rPr>
        <w:commentReference w:id="10"/>
      </w:r>
    </w:p>
    <w:p>
      <w:pPr>
        <w:pStyle w:val="BodyText"/>
      </w:pPr>
      <w:r>
        <w:t xml:space="preserve">Podobnie Grellmann</w:t>
      </w:r>
      <w:r>
        <w:rPr>
          <w:rStyle w:val="FootnoteReference"/>
        </w:rPr>
        <w:footnoteReference w:id="95"/>
      </w:r>
      <w:r>
        <w:t xml:space="preserve"> </w:t>
      </w:r>
      <w:r>
        <w:t xml:space="preserve">ujmował różnicę między Europejczykami a Romami następująco: „jeden jest biały, drugi czarny; – ten się odziewa, drugi chodzi na pół nagi; – ten [pierwszy] wzdryga się na myśl o jedzeniu padliny, drugi raczy się nią jak przysmakiem”</w:t>
      </w:r>
      <w:r>
        <w:rPr>
          <w:rStyle w:val="FootnoteReference"/>
        </w:rPr>
        <w:footnoteReference w:id="96"/>
      </w:r>
      <w:r>
        <w:t xml:space="preserve">.</w:t>
      </w:r>
      <w:r>
        <w:t xml:space="preserve"> </w:t>
      </w:r>
      <w:commentRangeStart w:id="11"/>
      <w:commentRangeEnd w:id="11"/>
      <w:r>
        <w:rPr>
          <w:rStyle w:val="CommentReference"/>
        </w:rPr>
        <w:commentReference w:id="11"/>
      </w:r>
      <w:r>
        <w:t xml:space="preserve"> </w:t>
      </w:r>
      <w:r>
        <w:t xml:space="preserve">Zauważał dalej, że Romowie „słynęli […] jako rabusie, złodzieje i podpalacze”</w:t>
      </w:r>
      <w:r>
        <w:rPr>
          <w:rStyle w:val="FootnoteReference"/>
        </w:rPr>
        <w:footnoteReference w:id="97"/>
      </w:r>
      <w:r>
        <w:t xml:space="preserve">. W całej książce uwagi o czarności i ciemnej skórze Romów nieustannie powracają, utrwalając ich jako podludzi i rasowego innego. Grellmann utożsamia „czarność” Romów z „prymitywnymi” i „dzikimi” cechami</w:t>
      </w:r>
      <w:r>
        <w:rPr>
          <w:rStyle w:val="FootnoteReference"/>
        </w:rPr>
        <w:footnoteReference w:id="98"/>
      </w:r>
      <w:r>
        <w:t xml:space="preserve">. Nawiedzające obrazy czarności, wpisane w myśl humanistyczną od renesansu, znajdują więc wyraźny wyraz w grellmannowskiej konceptualizacji trwałego, archetypowego wizerunku Roma. Wizerunek ten służył w Europie za rasowego innego i doprowadził do skonstruowania i ponownego ustanowienia białego zachodnioeuropejskiego Człowieka jako człowieczeństwa jako takiego, a w szczególności jako Europejczyka. Te skonstruowane znaczenia dodatkowo demonizują czarność w ogóle.</w:t>
      </w:r>
    </w:p>
    <w:p>
      <w:pPr>
        <w:pStyle w:val="BodyText"/>
      </w:pPr>
      <w:r>
        <w:t xml:space="preserve">Romowie, niegdyś uważani za pogan i niewiernych, jak pokazałam w poprzedniej części, przenieśli ten wyznacznik do nowoczesnej koncepcji człowieka/podczłowieka, przeformułowanej przez humanistów renesansu, a później przez myślicieli oświecenia wzdłuż podziału na racjonalne i irracjonalne oraz według cech fizycznych. Grellmann opisuje Romów jako z natury irracjonalnych, niezmiennych w czasie i przestrzeni: „ani czas, ani klimat, ani przykład nie wprowadziły dotąd, ogólnie biorąc, żadnej zmiany” w sposobie życia Romów</w:t>
      </w:r>
      <w:r>
        <w:rPr>
          <w:rStyle w:val="FootnoteReference"/>
        </w:rPr>
        <w:footnoteReference w:id="99"/>
      </w:r>
      <w:r>
        <w:t xml:space="preserve">. Tę irracjonalną stagnację i utknięcie w przeszłości zszywa się z ich pozaeuropejskim pochodzeniem, ciemną cerą oraz „dzikim” i „włóczęgowskim” sposobem życia. Czynniki te prowadzą Grellmanna do wniosku, że Romowie potrzebują „cywilizowania” za pomocą europejskich interwencji: myśli oświeceniowej, reform i rządzenia. Co więcej, według Grellmanna cywilizacyjną misję prowadzenia „irracjonalnych dzikusów” Romów ku człowieczeństwu można i należy urzeczywistnić przez pozbawienie ich ciemnej cery i wymuszone osiedlenie, połączone ze stałym zatrudnieniem, by uczynić z nich „pożytecznych obywateli” i „poddanych przynoszących zysk” państwu i właścicielom ziemskim.</w:t>
      </w:r>
    </w:p>
    <w:p>
      <w:pPr>
        <w:pStyle w:val="BodyText"/>
      </w:pPr>
      <w:r>
        <w:t xml:space="preserve">„Czarność” ucieleśniana przez Romów ma w logice Grellmanna następujące drogi nie/istnienia w Europie: (1) nigdy nie może pojawić się w Europie; (2) jeśli się pojawi, musi zostać uczyniona niewidzialną w ramach reżimu policyjno-karceralnego – „dopóki nie pochwyci go policja i nie uczyni go znów niewidzialnym”</w:t>
      </w:r>
      <w:r>
        <w:rPr>
          <w:rStyle w:val="FootnoteReference"/>
        </w:rPr>
        <w:footnoteReference w:id="100"/>
      </w:r>
      <w:r>
        <w:t xml:space="preserve">; (3) albo musi zniknąć przez asymilację i ciężką pracę dla europejskiego Człowieka</w:t>
      </w:r>
      <w:r>
        <w:rPr>
          <w:rStyle w:val="FootnoteReference"/>
        </w:rPr>
        <w:footnoteReference w:id="101"/>
      </w:r>
      <w:r>
        <w:t xml:space="preserve">. Tak czy inaczej europejska koncepcja człowieczeństwa domaga się zniknięcia czarności, także wtedy, gdy zostaje ona przerzucona na ciało romskie. Utrzymując, że ciemną cerę Romów można zmienić, Grellmann wytycza Romom „drogę wyjścia”, na której mają porzucić swoją „dzikość”, wędrowny sposób życia i różnicę rasową. Tylko przez tę przemianę, osiedlenie i stałą pracę mogą stać się „racjonalni”, „cywilizowani”, a zatem ludzcy. Twierdził, że Romowie służący w armii cesarskiej na Węgrzech albo muzykanci, którzy zachowywali lojalność wobec państwa i starali się zapomnieć o swoim pochodzeniu, mieli jaśniejszą skórę. Osiedlanie było więc poniekąd także elementem „wybielania”.</w:t>
      </w:r>
    </w:p>
    <w:p>
      <w:pPr>
        <w:pStyle w:val="BodyText"/>
      </w:pPr>
      <w:r>
        <w:t xml:space="preserve">Co istotne, Grellmann doszedł do wniosku, że rzekoma wrodzona irracjonalność Romów czyni ich niezdolnymi do bycia podmiotami politycznymi i do należytego rządzenia sobą. Nazywa Romów ludźmi „pozbawionymi namysłu i rozwagi”, „dziecinnymi”, „kierującymi się bardziej zmysłami niż rozumem”</w:t>
      </w:r>
      <w:r>
        <w:rPr>
          <w:rStyle w:val="FootnoteReference"/>
        </w:rPr>
        <w:footnoteReference w:id="102"/>
      </w:r>
      <w:r>
        <w:t xml:space="preserve">. Romskie instytucje polityczne, takie jak romscy wodzowie, uważa za „jedynie śmieszne naśladownictwo tego, co widzieli i podziwiali u ludów cywilizowanych”</w:t>
      </w:r>
      <w:r>
        <w:rPr>
          <w:rStyle w:val="FootnoteReference"/>
        </w:rPr>
        <w:footnoteReference w:id="103"/>
      </w:r>
      <w:r>
        <w:t xml:space="preserve">. Grellmann twierdzi ponadto, że muzyka jest „jedyną nauką”, w której Romowie mogą uczestniczyć, co spycha ich albo do ciężkiej pracy, albo do rozrywki i przesuwa ich na skali zmysłowości jeszcze dalej od rozumu. W ten sposób przekształca wizerunek Romów – nie-Europejczyków i pogan – w irracjonalnego ludzkiego Innego, niezdolnego do bycia racjonalnym podmiotem politycznym państwa. Ponadto Grellmann obwinia Romki o nieprzestrzeganie białych europejskich norm płci – o „niewłaściwe” wykonywanie prac domowych i opiekę nad dziećmi – a w rezultacie o reprodukowanie „niecywilizowanego”, „irracjonalnego” sposobu życia</w:t>
      </w:r>
      <w:r>
        <w:rPr>
          <w:rStyle w:val="FootnoteReference"/>
        </w:rPr>
        <w:footnoteReference w:id="104"/>
      </w:r>
      <w:r>
        <w:t xml:space="preserve">.</w:t>
      </w:r>
    </w:p>
    <w:p>
      <w:pPr>
        <w:pStyle w:val="BodyText"/>
      </w:pPr>
      <w:r>
        <w:t xml:space="preserve">Urasowienie Romów w Europie, w tym w Europie Wschodniej, kształtowała więc logika antyczarności, która wpływa na rozróżnienia rasowe i je formuje. Rasizm antyromski jest wynikiem relacji międzyimperialnych i kolonialnych oraz obiegu idei między różnymi formacjami imperialnymi. Na urasowienie Romów wpłynął jednak jeszcze jeden czynnik: rozwój kapitalizmu rasowego. Kolonizacja i oświeceniowe idee rasy zarówno przyczyniały się do akumulacji kapitału i jej form rządzenia, które podtrzymują kapitalizm jako podstawowy system ekonomiczny, jak i same podlegały ich wpływowi.</w:t>
      </w:r>
    </w:p>
    <w:p>
      <w:pPr>
        <w:pStyle w:val="BodyText"/>
      </w:pPr>
      <w:r>
        <w:t xml:space="preserve">Choć niniejszy artykuł koncentruje się przede wszystkim na splątaniu rasizmu antyromskiego z antyczarnością, trzeba zarazem przyznać, że urasowienie Romów historycznie przecinało się także z logikami antysemickimi – co najmniej od wypędzenia Żydów z Hiszpanii aż po oświecenie. Badacze tacy jak Wolfgang Wippermann</w:t>
      </w:r>
      <w:r>
        <w:rPr>
          <w:rStyle w:val="FootnoteReference"/>
        </w:rPr>
        <w:footnoteReference w:id="105"/>
      </w:r>
      <w:r>
        <w:t xml:space="preserve"> </w:t>
      </w:r>
      <w:r>
        <w:t xml:space="preserve">pokazali, że dyskursy antyromskie i antysemickie powstawały równolegle i często działały za pomocą strukturalnie podobnych mechanizmów, ustawiając zarówno Romów, jak i Żydów w pozycji wewnętrznych outsiderów: mobilnych, moralnie podejrzanych i opornych wobec kontroli państwa. Na przykład w XVII wieku Johann Christoph Wagenseil propagował pogląd, że</w:t>
      </w:r>
      <w:r>
        <w:t xml:space="preserve"> </w:t>
      </w:r>
      <w:r>
        <w:rPr>
          <w:i/>
          <w:iCs/>
        </w:rPr>
        <w:t xml:space="preserve">Zigeuner</w:t>
      </w:r>
      <w:r>
        <w:t xml:space="preserve"> </w:t>
      </w:r>
      <w:r>
        <w:t xml:space="preserve">byli w istocie przebranymi Żydami – twierdzenie, które ujawnia, jak lęki przed innością rzutowano na wiele urasowionych i zmarginalizowanych grup. Te paralele – wraz z analogiami w traktowaniu ludów rdzennych – otwierają ważne pola przyszłych badań. Choć nie zgłębiam tu tych przecięć, wskazują one na potrzebę dalszych badań nad tym, jak rasizm antyromski współkonstruowano z innymi formami wykluczenia rasowego i religijnego w obrębie europejskiej nowoczesności.</w:t>
      </w:r>
    </w:p>
    <w:p>
      <w:pPr>
        <w:pStyle w:val="Heading1"/>
      </w:pPr>
      <w:r>
        <w:t xml:space="preserve">3. Kapitalizm rasowy, grodzenie ziemi i kryminalizacja włóczęgostwa</w:t>
      </w:r>
    </w:p>
    <w:p>
      <w:pPr>
        <w:pStyle w:val="FirstParagraph"/>
      </w:pPr>
      <w:r>
        <w:t xml:space="preserve">Rozwój kapitalizmu rasowego, obok ustanowienia normatywnego człowieczeństwa/Człowieka, wytworzył podmiot przynoszący zysk</w:t>
      </w:r>
      <w:r>
        <w:rPr>
          <w:rStyle w:val="FootnoteReference"/>
        </w:rPr>
        <w:footnoteReference w:id="106"/>
      </w:r>
      <w:r>
        <w:t xml:space="preserve">, posłuszny prawu i kapitałowi. Ian Law i Nikolay Zakharov stwierdzają, że „wieloaspektowy dyskurs rasowy o Romach konstruował kluczowe powiązania ideologiczne między elementami centralnymi”, w tym przedstawienie Romów jako „pasożytniczej grupy żerującej na »prawdziwych« robotnikach”</w:t>
      </w:r>
      <w:r>
        <w:rPr>
          <w:rStyle w:val="FootnoteReference"/>
        </w:rPr>
        <w:footnoteReference w:id="107"/>
      </w:r>
      <w:r>
        <w:t xml:space="preserve">. Wizerunek ten ukazuje splecenie rasizmu z kapitalizmem i uzasadnia działania wymierzone w Romów – od profilowania etnicznego i hipernadzoru po wyburzanie ich domów, wywłaszczanie, eksmisje oraz segregację szkolną i mieszkaniową. Nic dziwnego, że kwestię asymilacji Romów często wiąże się z ich integracją z gospodarką kapitalistyczną, co historycznie obejmowało przymusowe osiedlanie, choć wiele społeczności romskich prowadziło już osiadły tryb życia.</w:t>
      </w:r>
    </w:p>
    <w:p>
      <w:pPr>
        <w:pStyle w:val="BodyText"/>
      </w:pPr>
      <w:r>
        <w:t xml:space="preserve">Wytworzenie rasowego „innego” nie tylko uzasadniało przemoc, lecz stworzyło też warunki wstępne ekonomicznego wyzysku Romów. Akumulacja kapitału zależy od wytwarzania siły roboczej, którą można utowarowić, a zatem wyobcować z tradycyjnej, samowystarczalnej produkcji i ukształtować na nowo w praktykach i umiejętnościach pracy odpowiednich dla nowoczesnej, skupionej na przemyśle produkcji masowej. Zarazem siła robocza podlega urasowieniu. Jak zauważa Jodi Melamed</w:t>
      </w:r>
      <w:r>
        <w:rPr>
          <w:rStyle w:val="FootnoteReference"/>
        </w:rPr>
        <w:footnoteReference w:id="108"/>
      </w:r>
      <w:r>
        <w:t xml:space="preserve">, rasizm utrwala nierówne różnicowanie ludzkiej wartości, którego kapitał potrzebuje do akumulacji poprzez stratę i zbędność. Na przykład współczesne ataki na osiedla romskie ukazują skrajną bezbronność ubogich Romów i romskich sezonowych migrantów zarobkowych. Zarazem Romów często spycha się do najcięższych, najbardziej unikanych prac, a ograniczony dostęp do usług i instytucji społecznych (takich jak edukacja) uniemożliwia im przełamanie tego podziału pracy. Enikő Vincze zauważa w tym kontekście, że zubożali Romowie zarówno „okazali się zbędni czy bezużyteczni na formalnych rynkach pracy”, jak i, „trzymani w całkowitej zależności ekonomicznej i pod kontrolą, zawsze mogli być wykorzystywani jako tania siła robocza, z gwarancją, że nigdy nie przeciwstawią się swojemu wyzyskowi”</w:t>
      </w:r>
      <w:r>
        <w:rPr>
          <w:rStyle w:val="FootnoteReference"/>
        </w:rPr>
        <w:footnoteReference w:id="109"/>
      </w:r>
      <w:r>
        <w:t xml:space="preserve">. Ponadto alienacja ziemi i grodzenie dóbr wspólnych okazały się historycznie środkiem akumulacji kapitalistycznej.</w:t>
      </w:r>
    </w:p>
    <w:p>
      <w:pPr>
        <w:pStyle w:val="BodyText"/>
      </w:pPr>
      <w:r>
        <w:t xml:space="preserve">Pojęcie „kapitalizmu rasowego” Robinsona odsłania wspólne korzenie rasizmu i kapitalizmu. Robinson</w:t>
      </w:r>
      <w:r>
        <w:rPr>
          <w:rStyle w:val="FootnoteReference"/>
        </w:rPr>
        <w:footnoteReference w:id="110"/>
      </w:r>
      <w:r>
        <w:t xml:space="preserve"> </w:t>
      </w:r>
      <w:r>
        <w:t xml:space="preserve">twierdzi, że kapitalizm rasowy rozwijał się na podłożu rasizmu i wraz z nim, a jego istnienie zależało od kolonializmu, ludobójstwa, imperializmu, niewolnictwa i przemocy. Co więcej, od XII wieku zarządcy władzy państwowej i elity podtrzymywały mity egalitaryzmu, szukając zarazem każdej sposobności, by panować nad różnymi grupami ludzi, dzieląc je. Robinson podkreśla, że „rasa stała się w dużej mierze racjonalizacją panowania, wyzysku i/lub eksterminacji nie-»Europejczyków« (w tym Słowian i Żydów)”</w:t>
      </w:r>
      <w:r>
        <w:rPr>
          <w:rStyle w:val="FootnoteReference"/>
        </w:rPr>
        <w:footnoteReference w:id="111"/>
      </w:r>
      <w:r>
        <w:t xml:space="preserve">.</w:t>
      </w:r>
    </w:p>
    <w:p>
      <w:pPr>
        <w:pStyle w:val="BodyText"/>
      </w:pPr>
      <w:r>
        <w:t xml:space="preserve">Choć szeroko sięgam po kategorię kapitalizmu rasowego, aby prześledzić historyczne splątanie rasizmu antyromskiego z procesami akumulacji, wyzysku i kolonialnego rządzenia, zdaję sobie sprawę, że ta rama – zwłaszcza w ujęciu Robinsona – ma swoje ograniczenia. Badacze tacy jak Jenkins i Leroy (2021)</w:t>
      </w:r>
      <w:commentRangeStart w:id="12"/>
      <w:commentRangeEnd w:id="12"/>
      <w:r>
        <w:rPr>
          <w:rStyle w:val="CommentReference"/>
        </w:rPr>
        <w:commentReference w:id="12"/>
      </w:r>
      <w:r>
        <w:t xml:space="preserve"> </w:t>
      </w:r>
      <w:r>
        <w:t xml:space="preserve">wskazali na skłonność teorii kapitalizmu rasowego do stawiania w centrum niewolnictwa transatlantyckiego i binarnej opozycji czarne/białe w sposób, który grozi marginalizacją innych doświadczeń urasowienia, w tym doświadczeń ludności rdzennej i romskiej. W odpowiedzi na te krytyki staram się ramę kapitalizmu rasowego poszerzyć, a nie jedynie zastosować, sytuując urasowienie Romów zarówno w obrębie hierarchii wewnątrzeuropejskich, jak i globalnych logik kolonialnych. Podejście to ma wydobyć na pierwszy plan to, jak formy rasowego podporządkowania w Europie, w tym kryminalizacja Romów, konstytuowały się wzajemnie z globalnymi procesami wywłaszczania i eksploatacji pracy. Zamiast traktować kapitalizm rasowy jako model totalizujący czy uniwersalnie wyjaśniający, posługuję się nim heurystycznie, aby zbadać, jak urasawiano Romów za pomocą określonych mechanizmów – takich jak prawa przeciwko włóczęgostwu, kontrola pracy i osiedlanie – które współbrzmią z innymi formacjami przemocy rasowej, lecz nie dają się do nich sprowadzić ani z nimi utożsamić. W ten sposób moja analiza zarówno podejmuje krytyki kapitalizmu rasowego, jak i na nich buduje, opowiadając się za bardziej relacyjnym i wielomiejscowym rozumieniem tego, jak rasa i kapitał współkonstruują hierarchie społeczne w różnych przestrzeniach geograficznych.</w:t>
      </w:r>
    </w:p>
    <w:p>
      <w:pPr>
        <w:pStyle w:val="BodyText"/>
      </w:pPr>
      <w:r>
        <w:t xml:space="preserve">Robinson ujmuje na przykład rozwój kapitalizmu rasowego w czterech momentach: po pierwsze, rasowe uporządkowanie społeczeństwa europejskiego; po drugie, islamskie (to jest afrykańskie, arabskie, perskie i tureckie) panowanie nad cywilizacją śródziemnomorską i wynikające z niego zahamowanie europejskiego życia społecznego i kulturalnego; po trzecie, włączenie ludów Afryki, Azji i „Nowego Świata” do systemu światowego, wyłaniającego się z późnego feudalizmu i kapitalizmu kupieckiego; po czwarte, dialektykę kolonializmu, niewolnictwa plantacyjnego oraz formowania się pracy przemysłowej i rezerw siły roboczej</w:t>
      </w:r>
      <w:r>
        <w:rPr>
          <w:rStyle w:val="FootnoteReference"/>
        </w:rPr>
        <w:footnoteReference w:id="112"/>
      </w:r>
      <w:r>
        <w:t xml:space="preserve">. Kapitalistyczne sposoby produkcji i ideologia wytworzyły rozróżnienia i opozycje między rasami, grupami etnicznymi i narodowościami oraz między robotnikami wykwalifikowanymi a niewykwalifikowanymi</w:t>
      </w:r>
      <w:r>
        <w:rPr>
          <w:rStyle w:val="FootnoteReference"/>
        </w:rPr>
        <w:footnoteReference w:id="113"/>
      </w:r>
      <w:r>
        <w:t xml:space="preserve">.</w:t>
      </w:r>
    </w:p>
    <w:p>
      <w:pPr>
        <w:pStyle w:val="BodyText"/>
      </w:pPr>
      <w:r>
        <w:t xml:space="preserve">Robinson zauważa, że analiza rasizmu w społeczeństwach zachodnich zaczyna się często od trzeciego momentu, znacznie mniej uwagi poświęcając wewnątrzeuropejskim korzeniom kapitalizmu rasowego. W swojej analizie kapitalizmu rasowego pomija on Romów, mimo ich obecności w Europie Zachodniej co najmniej od początku XV wieku i ich zniewolenia w Rumunii co najmniej od końca XIV wieku. Dowodzę, że Romowie, urasawiani jako nie-Europejczycy, byli częścią rasowo-kapitalistycznych stosunków. Sugeruję, że grodzenie ziemi i kryminalizacja włóczęgostwa, kluczowe dla kapitalizmu rasowego</w:t>
      </w:r>
      <w:r>
        <w:rPr>
          <w:rStyle w:val="FootnoteReference"/>
        </w:rPr>
        <w:footnoteReference w:id="114"/>
      </w:r>
      <w:r>
        <w:t xml:space="preserve">, przyczyniły się – obok przerzucania na nich czarności, o którym była tu już mowa – do urasowienia Romów. Mimo historycznego wkładu Romów w rozmaite zajęcia uważano ich za „obywateli nieprzynoszących zysku”, wymagających ucywilizowania przez osiedlenie i pełną kontrolę ich pracy</w:t>
      </w:r>
      <w:r>
        <w:rPr>
          <w:rStyle w:val="FootnoteReference"/>
        </w:rPr>
        <w:footnoteReference w:id="115"/>
      </w:r>
      <w:r>
        <w:t xml:space="preserve">. Od XVI wieku, z kolejnym szczytowym momentem pod koniec XVIII wieku, Romów w Europie coraz silniej kojarzono z włóczęgostwem, kryminalizowano i zmuszano do osiedlenia, by służyli miejscowym panom lub państwom</w:t>
      </w:r>
      <w:r>
        <w:rPr>
          <w:rStyle w:val="FootnoteReference"/>
        </w:rPr>
        <w:footnoteReference w:id="116"/>
      </w:r>
      <w:r>
        <w:t xml:space="preserve">.</w:t>
      </w:r>
    </w:p>
    <w:p>
      <w:pPr>
        <w:pStyle w:val="BodyText"/>
      </w:pPr>
      <w:r>
        <w:t xml:space="preserve">Kryminalizacja Romów i kojarzenie ich z włóczęgostwem rozprzestrzeniały się w Europie równolegle z kolonizacją obu Ameryk i narastaniem transatlantyckiego handlu niewolnikami w połowie XVI wieku. Silvia Federici</w:t>
      </w:r>
      <w:r>
        <w:rPr>
          <w:rStyle w:val="FootnoteReference"/>
        </w:rPr>
        <w:footnoteReference w:id="117"/>
      </w:r>
      <w:r>
        <w:t xml:space="preserve"> </w:t>
      </w:r>
      <w:r>
        <w:t xml:space="preserve">podkreśla wzajemne przenikanie się mechanizmów represji w Europie i w obu Amerykach w procesie rozwoju kapitalizmu. Podobnie jak polityka kolonialna, Kościół chrześcijański posługiwał się oskarżeniami o „herezję”, by tłumić sprzeciw społeczny w Europie, w tym bunty przeciwko władzy feudalnej, właścicielom ziemskim i pracodawcom. Pod koniec XIV wieku masowe powstania chłopskie w Europie Zachodniej i Środkowej, w których znaczący udział miały kobiety, szukały alternatyw dla stosunków feudalnych i opierały się rosnącej gospodarce pieniężnej</w:t>
      </w:r>
      <w:r>
        <w:rPr>
          <w:rStyle w:val="FootnoteReference"/>
        </w:rPr>
        <w:footnoteReference w:id="118"/>
      </w:r>
      <w:r>
        <w:t xml:space="preserve">.</w:t>
      </w:r>
    </w:p>
    <w:p>
      <w:pPr>
        <w:pStyle w:val="BodyText"/>
      </w:pPr>
      <w:r>
        <w:t xml:space="preserve">W odpowiedzi feudalna szlachta zaostrzyła środki represji, próbując zwiększyć wyzysk pracy przez rozmaite formy poddaństwa i niewolnictwa</w:t>
      </w:r>
      <w:r>
        <w:rPr>
          <w:rStyle w:val="FootnoteReference"/>
        </w:rPr>
        <w:footnoteReference w:id="119"/>
      </w:r>
      <w:r>
        <w:t xml:space="preserve">. Pojawiła się też centralizacja państwa, mająca tłumić konflikty społeczne i chronić bogactwo panów</w:t>
      </w:r>
      <w:r>
        <w:rPr>
          <w:rStyle w:val="FootnoteReference"/>
        </w:rPr>
        <w:footnoteReference w:id="120"/>
      </w:r>
      <w:r>
        <w:t xml:space="preserve">. Wraz z początkiem kolonializmu na przełomie XV i XVI wieku Europa Wschodnia doświadczyła „wtórnego poddaństwa”, a Europa Zachodnia – „grodzeń, polowań na czarownice, piętnowania, chłosty i zamykania włóczęgów i żebraków w nowo budowanych domach pracy i domach poprawy, pierwowzorach przyszłego systemu więziennictwa”</w:t>
      </w:r>
      <w:r>
        <w:rPr>
          <w:rStyle w:val="FootnoteReference"/>
        </w:rPr>
        <w:footnoteReference w:id="121"/>
      </w:r>
      <w:r>
        <w:t xml:space="preserve">.</w:t>
      </w:r>
      <w:r>
        <w:t xml:space="preserve"> </w:t>
      </w:r>
      <w:commentRangeStart w:id="13"/>
      <w:commentRangeEnd w:id="13"/>
      <w:r>
        <w:rPr>
          <w:rStyle w:val="CommentReference"/>
        </w:rPr>
        <w:commentReference w:id="13"/>
      </w:r>
      <w:r>
        <w:t xml:space="preserve"> </w:t>
      </w:r>
      <w:r>
        <w:t xml:space="preserve">Federici pisze dalej: „[…] na horyzoncie widzimy narodziny handlu niewolnikami, a na morzach statki już przewożą z Europy do Ameryki służących kontraktowych i skazańców”</w:t>
      </w:r>
      <w:r>
        <w:rPr>
          <w:rStyle w:val="FootnoteReference"/>
        </w:rPr>
        <w:footnoteReference w:id="122"/>
      </w:r>
      <w:r>
        <w:t xml:space="preserve">.</w:t>
      </w:r>
      <w:r>
        <w:t xml:space="preserve"> </w:t>
      </w:r>
      <w:commentRangeStart w:id="14"/>
      <w:commentRangeEnd w:id="14"/>
      <w:r>
        <w:rPr>
          <w:rStyle w:val="CommentReference"/>
        </w:rPr>
        <w:commentReference w:id="14"/>
      </w:r>
    </w:p>
    <w:p>
      <w:pPr>
        <w:pStyle w:val="BodyText"/>
      </w:pPr>
      <w:r>
        <w:t xml:space="preserve">Grodzenia (</w:t>
      </w:r>
      <w:r>
        <w:rPr>
          <w:i/>
          <w:iCs/>
        </w:rPr>
        <w:t xml:space="preserve">enclosures</w:t>
      </w:r>
      <w:r>
        <w:t xml:space="preserve">), zapoczątkowane w XIII-wiecznej Anglii, oznaczają prywatyzację ziemi za pomocą zespołu strategii, którymi panowie i zamożni farmerzy posługiwali się, by wywłaszczać chłopów i robotników z ich wspólnych gruntów, likwidować wspólnotową własność ziemi i powiększać swoje dobra na wyłącznie własny użytek. Grodzenia polegały na likwidacji systemu otwartych pól, w którym „mieszkańcy wsi posiadali niesąsiadujące ze sobą pasy ziemi na nieogrodzonym polu”, i obejmowały także ogradzanie dóbr wspólnych oraz burzenie „chat ubogich zagrodników, którzy nie mieli ziemi, lecz mogli przetrwać, ponieważ mieli dostęp do praw zwyczajowych”</w:t>
      </w:r>
      <w:r>
        <w:rPr>
          <w:rStyle w:val="FootnoteReference"/>
        </w:rPr>
        <w:footnoteReference w:id="123"/>
      </w:r>
      <w:r>
        <w:t xml:space="preserve">.</w:t>
      </w:r>
      <w:r>
        <w:t xml:space="preserve"> </w:t>
      </w:r>
      <w:commentRangeStart w:id="15"/>
      <w:commentRangeEnd w:id="15"/>
      <w:r>
        <w:rPr>
          <w:rStyle w:val="CommentReference"/>
        </w:rPr>
        <w:commentReference w:id="15"/>
      </w:r>
      <w:r>
        <w:t xml:space="preserve"> </w:t>
      </w:r>
      <w:r>
        <w:t xml:space="preserve">Federici zauważa, że prywatyzacja ziemi napędzała kapitał, pozwalając panom wykorzystywać ziemię do akumulacji, a nie na utrzymanie. Panowie dawali chłopom i robotnikom dostęp do jakichkolwiek środków utrzymania tylko wtedy, gdy byli u nich bezpośrednio zatrudnieni, co zwiększało ich zależność od stosunków pieniężnych i od właścicieli kapitału.</w:t>
      </w:r>
    </w:p>
    <w:p>
      <w:pPr>
        <w:pStyle w:val="BodyText"/>
      </w:pPr>
      <w:r>
        <w:t xml:space="preserve">Grodzenie ziemi sprawiło, że od XV wieku wielu ludzi wyruszało w drogę w poszukiwaniu pracy. W odpowiedzi władze w wielu miejscach wprowadzały regulacje wymierzone we włóczęgostwo, „które od połowy XVI wieku postrzegano jako jeden z najpilniejszych problemów społecznych epoki i które zbiegło się ze szczytem aktywności państwa przeciwko włóczęgom”</w:t>
      </w:r>
      <w:r>
        <w:rPr>
          <w:rStyle w:val="FootnoteReference"/>
        </w:rPr>
        <w:footnoteReference w:id="124"/>
      </w:r>
      <w:r>
        <w:t xml:space="preserve">. W oczach władz „włóczędzy” ucieleśniali protest przeciwko panującemu kapitalistycznemu systemowi ekonomicznemu: „ich zachowanie, często opisywane mocnym językiem moralnym, budziło niepokój, ponieważ mogli zachęcać innych do naśladowania ich przykładu i w ten sposób podkopywać porządek społeczny”</w:t>
      </w:r>
      <w:r>
        <w:rPr>
          <w:rStyle w:val="FootnoteReference"/>
        </w:rPr>
        <w:footnoteReference w:id="125"/>
      </w:r>
      <w:r>
        <w:t xml:space="preserve">. Melamed wyjaśnia urasawiające działanie praw przeciwko włóczęgom, które naznaczają ludzi pozbawionych zarobku jako przestępców i kwalifikują ich jako „bezużytecznych, niemoralnych i zbędnych”</w:t>
      </w:r>
      <w:r>
        <w:rPr>
          <w:rStyle w:val="FootnoteReference"/>
        </w:rPr>
        <w:footnoteReference w:id="126"/>
      </w:r>
      <w:r>
        <w:t xml:space="preserve">. „Włóczęga” staje się zatem statusem urasowionym, określanym jako przestępczy i zbędny. Co ważne, „włóczęgów” obwinia się za ich rozpaczliwe położenie, a oni sami nie mogą rościć sobie prawa do własnego sposobu życia i utrzymania ani do swojej obecności na ziemi. Właściciele kapitału i szlachta zaostrzali kary za przestępstwa przeciwko mieniu, aby zmusić „włóczęgów” do narzuconej im pracy</w:t>
      </w:r>
      <w:r>
        <w:rPr>
          <w:rStyle w:val="FootnoteReference"/>
        </w:rPr>
        <w:footnoteReference w:id="127"/>
      </w:r>
      <w:r>
        <w:t xml:space="preserve">. W XVIII wieku ta kryminalizacja stała się jednym z głównych narzędzi państwa w walce z mobilną biedotą.</w:t>
      </w:r>
    </w:p>
    <w:p>
      <w:pPr>
        <w:pStyle w:val="BodyText"/>
      </w:pPr>
      <w:r>
        <w:t xml:space="preserve">Urasowienie Romów i represje wobec nich były także częścią tej szerszej polityki kontrolowania niechcianej mobilności ubogich</w:t>
      </w:r>
      <w:r>
        <w:rPr>
          <w:rStyle w:val="FootnoteReference"/>
        </w:rPr>
        <w:footnoteReference w:id="128"/>
      </w:r>
      <w:r>
        <w:t xml:space="preserve">. Wim Willems sugeruje, że władze posługiwały się słowem „[C]yganie”</w:t>
      </w:r>
      <w:r>
        <w:rPr>
          <w:rStyle w:val="FootnoteReference"/>
        </w:rPr>
        <w:footnoteReference w:id="129"/>
      </w:r>
      <w:r>
        <w:t xml:space="preserve"> </w:t>
      </w:r>
      <w:r>
        <w:t xml:space="preserve">na określenie tych grup „włóczęgów”, które nie były praktykującymi chrześcijanami i które postrzegano jako cudzoziemców</w:t>
      </w:r>
      <w:r>
        <w:rPr>
          <w:rStyle w:val="FootnoteReference"/>
        </w:rPr>
        <w:footnoteReference w:id="130"/>
      </w:r>
      <w:r>
        <w:t xml:space="preserve">. Zarazem wizerunek „[C]yganów” określały w dużej mierze ich „pogański stan” i „przestępczy sposób życia”, co wiązało się z brakiem osiadłości oraz związków ze stałą pracą i ziemią</w:t>
      </w:r>
      <w:r>
        <w:rPr>
          <w:rStyle w:val="FootnoteReference"/>
        </w:rPr>
        <w:footnoteReference w:id="131"/>
      </w:r>
      <w:r>
        <w:t xml:space="preserve">. XVI-wieczne źródła dotyczące Romów świadczą więc o ówczesnym zwrocie przeciwko włóczęgostwu, w którym Romów coraz bardziej kryminalizowano. Postrzegano ich jako potencjalne zagrożenie dla porządku społeczno-ekonomicznego ze względu na wędrowny sposób życia. Wspierany przez państwo i Kościół obraz Romów jako włóczęgów coraz silniej naznaczał ich jako leniwych i skłonnych do przestępstw i przesłaniał wielość i złożoną rzeczywistość romskiego życia</w:t>
      </w:r>
      <w:r>
        <w:rPr>
          <w:rStyle w:val="FootnoteReference"/>
        </w:rPr>
        <w:footnoteReference w:id="132"/>
      </w:r>
      <w:r>
        <w:t xml:space="preserve">. Wielu historyków odnotowuje wpływ tendencji zachodnioeuropejskich na Europę Wschodnią. Na przykład zachodnie prądy intelektualne dotarły do Polski i zasadniczo zmieniły stosunek do ludzi wędrownych, w szczególności do Romów</w:t>
      </w:r>
      <w:r>
        <w:rPr>
          <w:rStyle w:val="FootnoteReference"/>
        </w:rPr>
        <w:footnoteReference w:id="133"/>
      </w:r>
      <w:r>
        <w:t xml:space="preserve">. Zmiany te zapowiadała uchwała sejmu z 1510 roku, nakazująca chwytać ludzi wędrownych i wykorzystywać ich przy pracach fortyfikacyjnych. Choć prawo to wymierzone było głównie w zbiegłych chłopów-włóczęgów, w połowie XVI wieku instytucje państwowe zaczęły brać na cel Romów. Na przykład w 1553 roku, cztery lata przed pierwszym antyromskim ustawodawstwem w Polsce, kanclerz koronny Ocieski wysłał do władz w Wiedniu list z propozycją współpracy przy wydalaniu Romów z Polski, a także z ziem dzisiejszych Czech</w:t>
      </w:r>
      <w:r>
        <w:rPr>
          <w:rStyle w:val="FootnoteReference"/>
        </w:rPr>
        <w:footnoteReference w:id="134"/>
      </w:r>
      <w:r>
        <w:t xml:space="preserve">.</w:t>
      </w:r>
    </w:p>
    <w:p>
      <w:pPr>
        <w:pStyle w:val="BodyText"/>
      </w:pPr>
      <w:r>
        <w:t xml:space="preserve">Również w 1553 roku Jakub Przyłuski, polski uczony, znawca polityki i prawa, opublikował</w:t>
      </w:r>
      <w:r>
        <w:t xml:space="preserve"> </w:t>
      </w:r>
      <w:r>
        <w:rPr>
          <w:i/>
          <w:iCs/>
        </w:rPr>
        <w:t xml:space="preserve">Leges seu statuta ac privilegia Regni Poloniae</w:t>
      </w:r>
      <w:r>
        <w:t xml:space="preserve"> </w:t>
      </w:r>
      <w:r>
        <w:t xml:space="preserve">(z łac.</w:t>
      </w:r>
      <w:r>
        <w:t xml:space="preserve"> </w:t>
      </w:r>
      <w:r>
        <w:rPr>
          <w:i/>
          <w:iCs/>
        </w:rPr>
        <w:t xml:space="preserve">Prawa, czyli statuty i przywileje Królestwa Polskiego</w:t>
      </w:r>
      <w:r>
        <w:t xml:space="preserve">). Dzieło to przedstawiało Romów jako leniwych wędrowców i złodziei, znacznie mniej przydatnych do służby wojskowej czy domowej niż zwykli włóczędzy</w:t>
      </w:r>
      <w:r>
        <w:rPr>
          <w:rStyle w:val="FootnoteReference"/>
        </w:rPr>
        <w:footnoteReference w:id="135"/>
      </w:r>
      <w:r>
        <w:t xml:space="preserve">. Przyłuski uznawał przyjmowanie Romów i tolerowanie ich wędrownego trybu życia za niemoralne i wzywał do surowych regulacji wobec Romów i innych włóczęgów. Ponadto w 1564 roku polski kronikarz i historyk Marcin Bielski opublikował</w:t>
      </w:r>
      <w:r>
        <w:t xml:space="preserve"> </w:t>
      </w:r>
      <w:r>
        <w:rPr>
          <w:i/>
          <w:iCs/>
        </w:rPr>
        <w:t xml:space="preserve">Kronikę, to jest historyję świata</w:t>
      </w:r>
      <w:r>
        <w:t xml:space="preserve">, polski tekst literacko-historyczny przedstawiający negatywny wizerunek Romów. Fragmenty</w:t>
      </w:r>
      <w:r>
        <w:t xml:space="preserve"> </w:t>
      </w:r>
      <w:r>
        <w:rPr>
          <w:i/>
          <w:iCs/>
        </w:rPr>
        <w:t xml:space="preserve">Kroniki</w:t>
      </w:r>
      <w:r>
        <w:t xml:space="preserve"> </w:t>
      </w:r>
      <w:r>
        <w:t xml:space="preserve">poświęcone Romom są podobne do fragmentów szeroko rozpowszechnionego dzieła niemieckiego kartografa i kosmografa Sebastiana Münstera</w:t>
      </w:r>
      <w:r>
        <w:t xml:space="preserve"> </w:t>
      </w:r>
      <w:r>
        <w:rPr>
          <w:i/>
          <w:iCs/>
        </w:rPr>
        <w:t xml:space="preserve">Cosmographiae Universalis</w:t>
      </w:r>
      <w:r>
        <w:t xml:space="preserve"> </w:t>
      </w:r>
      <w:r>
        <w:t xml:space="preserve">(1544), a niekiedy z niego przepisane</w:t>
      </w:r>
      <w:r>
        <w:rPr>
          <w:rStyle w:val="FootnoteReference"/>
        </w:rPr>
        <w:footnoteReference w:id="136"/>
      </w:r>
      <w:r>
        <w:t xml:space="preserve">. Bielski przedstawiał Romów jako leniwych, wędrownych, dzikich i przebiegłych złodziei, podkreślając ich niepodporządkowanie kapitalistycznym normom pracy i europocentrycznym rolom płciowym oraz łącząc ich ze szpiegostwem na rzecz muzułmańskich Turków</w:t>
      </w:r>
      <w:r>
        <w:rPr>
          <w:rStyle w:val="FootnoteReference"/>
        </w:rPr>
        <w:footnoteReference w:id="137"/>
      </w:r>
      <w:r>
        <w:t xml:space="preserve">.</w:t>
      </w:r>
    </w:p>
    <w:p>
      <w:pPr>
        <w:pStyle w:val="BodyText"/>
      </w:pPr>
      <w:r>
        <w:t xml:space="preserve">Idee te ukazują kilka ważnych momentów. Po pierwsze, wpływ zachodnioeuropejskiej myśli renesansowej, zwłaszcza myślicieli niemieckich</w:t>
      </w:r>
      <w:r>
        <w:rPr>
          <w:rStyle w:val="FootnoteReference"/>
        </w:rPr>
        <w:footnoteReference w:id="138"/>
      </w:r>
      <w:r>
        <w:t xml:space="preserve">, na życie intelektualne Europy Środkowej i Wschodniej. Po drugie, myślenie o Romach w Polsce przełożyło na nowo zachodnią logikę uinniania Romów. W XVIII wieku w Rzeczypospolitej Obojga Narodów Romów coraz częściej postrzegano jako złodziei i przestępców. Co istotne, proces ten przebiegał równolegle z rozrostem miast i wzrostem warstwy mieszczańskiej</w:t>
      </w:r>
      <w:r>
        <w:rPr>
          <w:rStyle w:val="FootnoteReference"/>
        </w:rPr>
        <w:footnoteReference w:id="139"/>
      </w:r>
      <w:r>
        <w:t xml:space="preserve">. Konstrukt lenistwa przerzucano zwłaszcza na ciała niebiałe, w tym na Romów, niezależnie od ich zajęć, co silnie współbrzmiało z ideami rozwiniętymi przez Grellmanna.</w:t>
      </w:r>
    </w:p>
    <w:p>
      <w:pPr>
        <w:pStyle w:val="BodyText"/>
      </w:pPr>
      <w:r>
        <w:t xml:space="preserve">Niemieccy kryminolodzy, urzędnicy sądowi i śledczy powoływali się na dzieło Grellmanna, by identyfikować Romów i proponować środki „naprawcze”, które miały uczynić z nich „obywateli przynoszących zysk”</w:t>
      </w:r>
      <w:r>
        <w:rPr>
          <w:rStyle w:val="FootnoteReference"/>
        </w:rPr>
        <w:footnoteReference w:id="140"/>
      </w:r>
      <w:r>
        <w:t xml:space="preserve">. Obraz Romów jako nieosiadłych włóczęgów wyrastał z przekonania, że odmawiają oni pracy i mają skłonność do kradzieży. Przekonanie to z jednej strony wiązało przestępczość z urasowieniem Romów, z drugiej zaś odzwierciedlało niepokój władz wobec protestów przeciwko systemowi kapitalistycznemu</w:t>
      </w:r>
      <w:r>
        <w:rPr>
          <w:rStyle w:val="FootnoteReference"/>
        </w:rPr>
        <w:footnoteReference w:id="141"/>
      </w:r>
      <w:r>
        <w:t xml:space="preserve">. Kapitalistyczne włączenie Romów przez przymusowe osiedlanie, wymuszane kryminalizacją włóczęgostwa, wzmacniało kształtowanie się podmiotu przynoszącego zysk. Chwaląc politykę asymilacyjną habsburskiego cesarza Józefa II, prowadzoną „w celu ucywilizowania i uczynienia z nich dobrych i przynoszących zysk obywateli”, Grellmann uważa wędrownych Romów za „ledwie zasługujących na to, by uznać ich za ludzi”</w:t>
      </w:r>
      <w:r>
        <w:rPr>
          <w:rStyle w:val="FootnoteReference"/>
        </w:rPr>
        <w:footnoteReference w:id="142"/>
      </w:r>
      <w:r>
        <w:t xml:space="preserve">. W tej logice osiadli Romowie wybrali „cywilizowaną”/ „racjonalną” drogę, która miała sprawić, że się zasymilują, a zatem „przeobrażą się w pożytecznych obywateli” i staną się „lepszymi ludźmi”</w:t>
      </w:r>
      <w:r>
        <w:rPr>
          <w:rStyle w:val="FootnoteReference"/>
        </w:rPr>
        <w:footnoteReference w:id="143"/>
      </w:r>
      <w:r>
        <w:t xml:space="preserve">.</w:t>
      </w:r>
    </w:p>
    <w:p>
      <w:pPr>
        <w:pStyle w:val="BodyText"/>
      </w:pPr>
      <w:r>
        <w:t xml:space="preserve">Grellmann twierdzi, że aby stać się ludźmi, Romowie muszą więcej pracować i być pożyteczni/przynosić zysk państwu i właścicielom ziemskim. W tym celu nalegał, by władze państwowe dbały o to, żeby Romowie nie tracili czasu na próżnowanie i „byli zmuszani do pracy najemnej”</w:t>
      </w:r>
      <w:r>
        <w:rPr>
          <w:rStyle w:val="FootnoteReference"/>
        </w:rPr>
        <w:footnoteReference w:id="144"/>
      </w:r>
      <w:r>
        <w:t xml:space="preserve">. Potępiając wędrowny tryb życia Romów i chwaląc ich „zdrowe, krzepkie ciała”, Grellmann stwierdza, że „ich zręczność i pomysłowość mogłyby uczynić z nich poddanych przynoszących państwu wielki zysk, lecz ich usposobienie czyni z nich istoty najbardziej bezużyteczne i szkodliwe”, co nie pozwala państwu i właścicielom ziemskim „czerpać korzyści” z Romów</w:t>
      </w:r>
      <w:r>
        <w:rPr>
          <w:rStyle w:val="FootnoteReference"/>
        </w:rPr>
        <w:footnoteReference w:id="145"/>
      </w:r>
      <w:r>
        <w:t xml:space="preserve">.</w:t>
      </w:r>
    </w:p>
    <w:p>
      <w:pPr>
        <w:pStyle w:val="BodyText"/>
      </w:pPr>
      <w:r>
        <w:t xml:space="preserve">Zgodnie z dominującymi logikami rasowymi również rosyjski rząd imperialny deklarował realizację „cywilizacyjnej” misji wobec Romów, zmieniając ich sposób życia i włączając/przekształcając ich w kontrolowaną siłę roboczą, głównie w rolnictwie. Równolegle z tą polityką większość Romów pozostawała pozbawiona praw, a ich sposób życia kryminalizowano, ponieważ „reżim imperialny postrzegał osiedlenie jako niezbędny warunek wstępny tego, by prymitywni »koczownicy« mogli awansować na wyższy stopień cywilizacji jako osiadli rolnicy lub rzemieślnicy”</w:t>
      </w:r>
      <w:r>
        <w:rPr>
          <w:rStyle w:val="FootnoteReference"/>
        </w:rPr>
        <w:footnoteReference w:id="146"/>
      </w:r>
      <w:r>
        <w:t xml:space="preserve">. Etnografowie Imperium Rosyjskiego postrzegali politykę osiedlania jako racjonalne zarządzanie, które dąży do porządku społecznego i przekształca Romów w „pożytecznych obywateli”</w:t>
      </w:r>
      <w:r>
        <w:rPr>
          <w:rStyle w:val="FootnoteReference"/>
        </w:rPr>
        <w:footnoteReference w:id="147"/>
      </w:r>
      <w:r>
        <w:t xml:space="preserve">.</w:t>
      </w:r>
    </w:p>
    <w:p>
      <w:pPr>
        <w:pStyle w:val="BodyText"/>
      </w:pPr>
      <w:r>
        <w:t xml:space="preserve">Następnie bolszewicy, potępiając carski ucisk narodów nierosyjskich, ogłosili się racjonalnymi przywódcami wieloetnicznego Związku Sowieckiego. Choć wczesna polityka sowiecka – zwłaszcza w okresie</w:t>
      </w:r>
      <w:r>
        <w:t xml:space="preserve"> </w:t>
      </w:r>
      <w:r>
        <w:rPr>
          <w:i/>
          <w:iCs/>
        </w:rPr>
        <w:t xml:space="preserve">korienizacji</w:t>
      </w:r>
      <w:r>
        <w:t xml:space="preserve"> </w:t>
      </w:r>
      <w:r>
        <w:t xml:space="preserve">(„ukorzenienia”) w latach 20. XX wieku – w pewnym zakresie wspierała kultury narodowe, języki i autonomię polityczną, uznanie to było często instrumentalne i nierówne. Sowieccy urzędnicy dążyli do integracji narodów nierosyjskich jako „świadomych, »społecznie użytecznych« obywateli, zaangażowanych w swoiście sowiecki sposób życia”</w:t>
      </w:r>
      <w:r>
        <w:rPr>
          <w:rStyle w:val="FootnoteReference"/>
        </w:rPr>
        <w:footnoteReference w:id="148"/>
      </w:r>
      <w:r>
        <w:t xml:space="preserve">. Romów niekiedy oficjalnie uznawano za „szczególną narodowość” i angażowano w działania na rzecz produkcji kulturalnej i organizacji politycznej. Co znamienne, w tym okresie pojawiły się także krytyczne głosy romskie – romski aktywista Aleksandr German ukuł wówczas termin</w:t>
      </w:r>
      <w:r>
        <w:t xml:space="preserve"> </w:t>
      </w:r>
      <w:r>
        <w:rPr>
          <w:i/>
          <w:iCs/>
        </w:rPr>
        <w:t xml:space="preserve">antycyganizm</w:t>
      </w:r>
      <w:r>
        <w:rPr>
          <w:rStyle w:val="FootnoteReference"/>
        </w:rPr>
        <w:footnoteReference w:id="149"/>
      </w:r>
      <w:r>
        <w:t xml:space="preserve">. Polityka ta nie wymknęła się jednak szerszemu sowieckiemu celowi, jakim było wytworzenie społecznie użytecznych, osiadłych i ideologicznie zgodnych obywateli. Na przykład Barannikow</w:t>
      </w:r>
      <w:r>
        <w:rPr>
          <w:rStyle w:val="FootnoteReference"/>
        </w:rPr>
        <w:footnoteReference w:id="150"/>
      </w:r>
      <w:r>
        <w:t xml:space="preserve">, orientalista związany z Muzeum Rosyjskim i Uniwersytetem Leningradzkim, twierdził, że Imperium Rosyjskie dążyło do pozbawienia Romów ich odrębności, z czego wynikało, że dopiero Związek Sowiecki rządził Romami racjonalnie i życzliwie, zarówno modernizując ich przez osiedlanie, jak i uznając ich za „szczególną narodowość”</w:t>
      </w:r>
      <w:r>
        <w:rPr>
          <w:rStyle w:val="FootnoteReference"/>
        </w:rPr>
        <w:footnoteReference w:id="151"/>
      </w:r>
      <w:r>
        <w:t xml:space="preserve">. Modernizacja ta była jednak głęboko ambiwalentna. Wcześni etnografowie sowieccy nadal akcentowali obywatelskie włączenie i osiedlenie Romów jako „znak rozpoznawczy racjonalnego, tolerancyjnego i ideologicznie słusznego rządzenia”</w:t>
      </w:r>
      <w:r>
        <w:rPr>
          <w:rStyle w:val="FootnoteReference"/>
        </w:rPr>
        <w:footnoteReference w:id="152"/>
      </w:r>
      <w:r>
        <w:t xml:space="preserve">, nawet gdy polityka państwa często kryminalizowała wędrowny tryb życia i podkopywała tradycyjne rzemiosła i zajęcia</w:t>
      </w:r>
      <w:r>
        <w:rPr>
          <w:rStyle w:val="FootnoteReference"/>
        </w:rPr>
        <w:footnoteReference w:id="153"/>
      </w:r>
      <w:r>
        <w:t xml:space="preserve">. Romowie, którzy nie dostosowali się do sowieckiego modelu produktywnego, osiadłego robotnika, mogli stać się celem praw przeciwko włóczęgostwu lub innych pretekstów prawnych</w:t>
      </w:r>
      <w:r>
        <w:rPr>
          <w:rStyle w:val="FootnoteReference"/>
        </w:rPr>
        <w:footnoteReference w:id="154"/>
      </w:r>
      <w:r>
        <w:t xml:space="preserve">. Choć więc</w:t>
      </w:r>
      <w:r>
        <w:t xml:space="preserve"> </w:t>
      </w:r>
      <w:r>
        <w:rPr>
          <w:i/>
          <w:iCs/>
        </w:rPr>
        <w:t xml:space="preserve">korienizacja</w:t>
      </w:r>
      <w:r>
        <w:t xml:space="preserve"> </w:t>
      </w:r>
      <w:r>
        <w:t xml:space="preserve">otworzyła ograniczone przestrzenie uznania, Romów nadal zmuszano do podporządkowania się europocentrycznym i wyznaczonym przez państwo ideałom pracy i obywatelstwa, co rozbijało długotrwałe relacje pokrewieństwa, mobilności i przestrzeni.</w:t>
      </w:r>
    </w:p>
    <w:p>
      <w:pPr>
        <w:pStyle w:val="Heading1"/>
      </w:pPr>
      <w:r>
        <w:t xml:space="preserve">Zakończenie</w:t>
      </w:r>
    </w:p>
    <w:p>
      <w:pPr>
        <w:pStyle w:val="FirstParagraph"/>
      </w:pPr>
      <w:r>
        <w:t xml:space="preserve">Artykuł ukazuje różnice i podobieństwa w urasawianiu Romów w różnych przestrzeniach oraz w odniesieniu do kolonialnych formacji rasowych. Wyodrębnienie rozmaitych imperializmów pozwala dostrzec podobieństwa, ich wędrówkę i kształtowanie się, a także naświetlić, jak swoistość urasowienia Romów w różny sposób współkształtuje szersze struktury rasowe. Wczesne dzieje wewnątrzeuropejskiego urasowienia Romów pomagają umiejscowić marginalizację Romów w matrycy rasowej (</w:t>
      </w:r>
      <w:r>
        <w:rPr>
          <w:i/>
          <w:iCs/>
        </w:rPr>
        <w:t xml:space="preserve">racial matrix</w:t>
      </w:r>
      <w:r>
        <w:t xml:space="preserve">), a także skłaniają do przyjrzenia się współczesnemu wytwarzaniu normatywnego podmiotu przynoszącego zysk, ukształtowanemu przez dziedzictwo historyczne. Jak pokazuje ten artykuł, urasowienie wytwarzane jest – obok innych czynników – przez porządkowanie życia społecznego według dyktatu własności prywatnej i grodzenia ziemi, a także przez alienację pracy, kryminalizację włóczęgostwa i kształtowanie podmiotu przynoszącego zysk. W sumie artykuł naświetla, jak urasowienie Romów historycznie łączyło lęk przed czarnością, niechrześcijańskością i niepodporządkowaniem się kapitalistycznej logice wyzysku pracy oraz europocentrycznym nakazom płciowym.</w:t>
      </w:r>
    </w:p>
    <w:p>
      <w:pPr>
        <w:pStyle w:val="BodyText"/>
      </w:pPr>
      <w:r>
        <w:t xml:space="preserve">Przyszłe badania mogłyby sprawdzić, czy położenie Romów w innych formacjach imperialnych – takich jak Cesarstwo Bizantyńskie i Imperium Osmańskie</w:t>
      </w:r>
      <w:r>
        <w:rPr>
          <w:rStyle w:val="FootnoteReference"/>
        </w:rPr>
        <w:footnoteReference w:id="155"/>
      </w:r>
      <w:r>
        <w:t xml:space="preserve"> </w:t>
      </w:r>
      <w:r>
        <w:t xml:space="preserve">czy socjalistyczna Jugosławia – potwierdza, czy też podważa zarysowane tu trajektorie. Przypadki te mogą skomplikować lub zniuansować omówione tu dominujące wzorce, stwarzając owocny grunt do ponownego przemyślenia tego, jak różne systemy polityczno-ekonomiczne zapośredniczają urasowienie Romów. Potrzebne są też dalsze prace, które prześledzą, jak kolonialne i historyczne tropy – takie jak kojarzenie z przestępczością, czarnością, nieczystością i pasożytnictwem – nie tylko umożliwiły Zagładę, Porajmos i inne akty przemocy ludobójczej, lecz także nadal kształtują dzisiejsze mechanizmy wykluczenia</w:t>
      </w:r>
      <w:r>
        <w:rPr>
          <w:rStyle w:val="FootnoteReference"/>
        </w:rPr>
        <w:footnoteReference w:id="156"/>
      </w:r>
      <w:r>
        <w:t xml:space="preserve">. Opierając się na historycznej perspektywie niniejszego artykułu, takie badania mogłyby pogłębić nasze rozumienie tego, jak długotrwałe logiki rasowe nadal strukturyzują współczesną przemoc państwową i społeczne porzucenie wymierzone w społeczności romskie.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licencja i podstawa zgody na przekład – MB-decisions D17 A1 (CC BY-NC: zgoda autorki / CRS?); pierwodruk nie zawiera noty o prawach autorskich</w:t>
      </w:r>
    </w:p>
  </w:comment>
  <w:comment w:id="2" w:author="SROM" w:date="2026-01-01T00:00:00Z">
    <w:p>
      <w:pPr>
        <w:pStyle w:val="CommentText"/>
      </w:pPr>
      <w:r>
        <w:rPr>
          <w:rStyle w:val="CommentReference"/>
        </w:rPr>
        <w:annotationRef/>
      </w:r>
      <w:r>
        <w:t xml:space="preserve">DO SPRAWDZENIA: S1 – Césaire, „boomerang effect of colonization”: brzmienie i strona wydania polskiego (A. Césaire, Rozprawa z kolonializmem, tłum. Z. Jaremko-Pytowska, Czytelnik 1950); tu przekład roboczy z angielskiego</w:t>
      </w:r>
    </w:p>
  </w:comment>
  <w:comment w:id="3" w:author="SROM" w:date="2026-01-01T00:00:00Z">
    <w:p>
      <w:pPr>
        <w:pStyle w:val="CommentText"/>
      </w:pPr>
      <w:r>
        <w:rPr>
          <w:rStyle w:val="CommentReference"/>
        </w:rPr>
        <w:annotationRef/>
      </w:r>
      <w:r>
        <w:t xml:space="preserve">DO SPRAWDZENIA: S2 – Fraser, „ugly in appearance and black as Tartars” (oryg. s. 67): brzmienie i strona wydania polskiego (A. Fraser, Dzieje Cyganów, tłum. E. Klekot, PIW 2001); tu przekład roboczy z angielskiego</w:t>
      </w:r>
    </w:p>
  </w:comment>
  <w:comment w:id="4" w:author="SROM" w:date="2026-01-01T00:00:00Z">
    <w:p>
      <w:pPr>
        <w:pStyle w:val="CommentText"/>
      </w:pPr>
      <w:r>
        <w:rPr>
          <w:rStyle w:val="CommentReference"/>
        </w:rPr>
        <w:annotationRef/>
      </w:r>
      <w:r>
        <w:t xml:space="preserve">DO SPRAWDZENIA: S3 – Fraser, „thievish race of men” (oryg. s. 85): brzmienie i strona wydania polskiego (Dzieje Cyganów, PIW 2001); tu przekład roboczy z angielskiego</w:t>
      </w:r>
    </w:p>
  </w:comment>
  <w:comment w:id="5" w:author="SROM" w:date="2026-01-01T00:00:00Z">
    <w:p>
      <w:pPr>
        <w:pStyle w:val="CommentText"/>
      </w:pPr>
      <w:r>
        <w:rPr>
          <w:rStyle w:val="CommentReference"/>
        </w:rPr>
        <w:annotationRef/>
      </w:r>
      <w:r>
        <w:t xml:space="preserve">DO SPRAWDZENIA: autorka pisze „Grand Duchy of Lithuania/Litva” (tu i niżej, także „Third Statute of Lithuania/Litva”); po polsku „Litwa” oddaje obie formy – wybór do potwierdzenia (pahulich_uwagi.md § 3)</w:t>
      </w:r>
    </w:p>
  </w:comment>
  <w:comment w:id="6" w:author="SROM" w:date="2026-01-01T00:00:00Z">
    <w:p>
      <w:pPr>
        <w:pStyle w:val="CommentText"/>
      </w:pPr>
      <w:r>
        <w:rPr>
          <w:rStyle w:val="CommentReference"/>
        </w:rPr>
        <w:annotationRef/>
      </w:r>
      <w:r>
        <w:t xml:space="preserve">DO SPRAWDZENIA: „1992, 81” – rok i strona bez nazwiska autora; zapewne Fraser 1992 (pytanie do autora, pahulich_queries.md)</w:t>
      </w:r>
    </w:p>
  </w:comment>
  <w:comment w:id="7" w:author="SROM" w:date="2026-01-01T00:00:00Z">
    <w:p>
      <w:pPr>
        <w:pStyle w:val="CommentText"/>
      </w:pPr>
      <w:r>
        <w:rPr>
          <w:rStyle w:val="CommentReference"/>
        </w:rPr>
        <w:annotationRef/>
      </w:r>
      <w:r>
        <w:t xml:space="preserve">DO SPRAWDZENIA: w oryginale „note 1” – przypis autorki nr 1 ma po konwersji numer 2; zmieni się, jeśli MB połączy przypisy 1 i 2 (D17 A2)</w:t>
      </w:r>
    </w:p>
  </w:comment>
  <w:comment w:id="8" w:author="SROM" w:date="2026-01-01T00:00:00Z">
    <w:p>
      <w:pPr>
        <w:pStyle w:val="CommentText"/>
      </w:pPr>
      <w:r>
        <w:rPr>
          <w:rStyle w:val="CommentReference"/>
        </w:rPr>
        <w:annotationRef/>
      </w:r>
      <w:r>
        <w:t xml:space="preserve">DO SPRAWDZENIA: S4 – Mróz, „a time of fundamental transformation” (oryg. s. 11): brzmienie i strona polskiego oryginału (L. Mróz, Dzieje Cyganów-Romów w Rzeczypospolitej XV–XVIII w., DiG 2001; wydanie CEU 2015 jest jego przekładem, tłum. J. Fomina); tu przekład roboczy z angielskiego</w:t>
      </w:r>
    </w:p>
  </w:comment>
  <w:comment w:id="9" w:author="SROM" w:date="2026-01-01T00:00:00Z">
    <w:p>
      <w:pPr>
        <w:pStyle w:val="CommentText"/>
      </w:pPr>
      <w:r>
        <w:rPr>
          <w:rStyle w:val="CommentReference"/>
        </w:rPr>
        <w:annotationRef/>
      </w:r>
      <w:r>
        <w:t xml:space="preserve">DO SPRAWDZENIA: S9 – Thomasius, cytat za angielskim przekładem Lewy’ego: oryginał łaciński (Dissertatio de Cingaris, 1671?) nieodszukany</w:t>
      </w:r>
    </w:p>
  </w:comment>
  <w:comment w:id="10" w:author="SROM" w:date="2026-01-01T00:00:00Z">
    <w:p>
      <w:pPr>
        <w:pStyle w:val="CommentText"/>
      </w:pPr>
      <w:r>
        <w:rPr>
          <w:rStyle w:val="CommentReference"/>
        </w:rPr>
        <w:annotationRef/>
      </w:r>
      <w:r>
        <w:t xml:space="preserve">DO SPRAWDZENIA: S8 – Dal: tekst rosyjski (oryg. Dal 1883, t. 6, s. 140–142) nieodszukany; frazy nie występują w opowiadaniu «Цыганка» (1830); tu przekład z angielskiego autorki</w:t>
      </w:r>
    </w:p>
  </w:comment>
  <w:comment w:id="11" w:author="SROM" w:date="2026-01-01T00:00:00Z">
    <w:p>
      <w:pPr>
        <w:pStyle w:val="CommentText"/>
      </w:pPr>
      <w:r>
        <w:rPr>
          <w:rStyle w:val="CommentReference"/>
        </w:rPr>
        <w:annotationRef/>
      </w:r>
      <w:r>
        <w:t xml:space="preserve">DO SPRAWDZENIA: S10 – wszystkie cytaty z Grellmanna (przyp. 88–96, 106, 132–135) przełożone z angielskiego wydania 1807, które cytuje autorka; oryginał niemiecki (1787) różni się w miejscach istotnych dla wywodu – decyzja MB (pahulich_uwagi.md § 1, research/grellmann_de.md)</w:t>
      </w:r>
    </w:p>
  </w:comment>
  <w:comment w:id="12" w:author="SROM" w:date="2026-01-01T00:00:00Z">
    <w:p>
      <w:pPr>
        <w:pStyle w:val="CommentText"/>
      </w:pPr>
      <w:r>
        <w:rPr>
          <w:rStyle w:val="CommentReference"/>
        </w:rPr>
        <w:annotationRef/>
      </w:r>
      <w:r>
        <w:t xml:space="preserve">DO SPRAWDZENIA: Jenkins, Leroy 2021 – brak w bibliografii autora (pytanie do autora)</w:t>
      </w:r>
    </w:p>
  </w:comment>
  <w:comment w:id="13" w:author="SROM" w:date="2026-01-01T00:00:00Z">
    <w:p>
      <w:pPr>
        <w:pStyle w:val="CommentText"/>
      </w:pPr>
      <w:r>
        <w:rPr>
          <w:rStyle w:val="CommentReference"/>
        </w:rPr>
        <w:annotationRef/>
      </w:r>
      <w:r>
        <w:t xml:space="preserve">DO SPRAWDZENIA: S5 – Federici (oryg. s. 64): brzmienie i strona wydania polskiego (S. Federici, Kaliban i czarownica, tłum. K. Król, Karakter 2025); tu przekład roboczy z angielskiego</w:t>
      </w:r>
    </w:p>
  </w:comment>
  <w:comment w:id="14" w:author="SROM" w:date="2026-01-01T00:00:00Z">
    <w:p>
      <w:pPr>
        <w:pStyle w:val="CommentText"/>
      </w:pPr>
      <w:r>
        <w:rPr>
          <w:rStyle w:val="CommentReference"/>
        </w:rPr>
        <w:annotationRef/>
      </w:r>
      <w:r>
        <w:t xml:space="preserve">DO SPRAWDZENIA: S6 – Federici (oryg. bez strony u autorki): brzmienie i strona wydania polskiego (Kaliban i czarownica, 2025); tu przekład roboczy z angielskiego</w:t>
      </w:r>
    </w:p>
  </w:comment>
  <w:comment w:id="15" w:author="SROM" w:date="2026-01-01T00:00:00Z">
    <w:p>
      <w:pPr>
        <w:pStyle w:val="CommentText"/>
      </w:pPr>
      <w:r>
        <w:rPr>
          <w:rStyle w:val="CommentReference"/>
        </w:rPr>
        <w:annotationRef/>
      </w:r>
      <w:r>
        <w:t xml:space="preserve">DO SPRAWDZENIA: S7 – Federici (oryg. s. 69–70): brzmienie i strona wydania polskiego (Kaliban i czarownica, 2025); tu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[@demeter2000; @crowe2007; @law2018; @kocze2020]</w:t>
      </w:r>
      <w:r>
        <w:t xml:space="preserve">.</w:t>
      </w:r>
    </w:p>
  </w:footnote>
  <w:footnote w:id="10">
    <w:p>
      <w:pPr>
        <w:pStyle w:val="FootnoteText"/>
      </w:pPr>
      <w:r>
        <w:rPr>
          <w:rStyle w:val="FootnoteReference"/>
        </w:rPr>
        <w:footnoteRef/>
      </w:r>
      <w:r>
        <w:t xml:space="preserve"> </w:t>
      </w:r>
      <w:r>
        <w:t xml:space="preserve">Posługuję się terminem „Romowie”, ponieważ jest on powszechnie używany przez romskich aktywistów, badaczy, podmioty międzynarodowe i szeroką publiczność. Wprowadzony przez romskich aktywistów pod koniec XX wieku, służy jako nazwa polityczna i autoidentyfikacyjna, która ma przeciwdziałać piętnu nazw pejoratywnych. Choć nie przyjmują jej wszyscy Romowie, wiele społeczności romskich nadal używa różnych nazw. Różnorodność nazw stosowanych przez poszczególne społeczności, takie jak Sinti, Kale, Manusze, Rudari czy Travellersi, dodatkowo komplikuje obraz romskiej autoidentyfikacji i kategoryzacji, ukazując złożoność tego, jak rozumie się i przeżywa romską etniczność.</w:t>
      </w:r>
    </w:p>
  </w:footnote>
  <w:footnote w:id="11">
    <w:p>
      <w:pPr>
        <w:pStyle w:val="FootnoteText"/>
      </w:pPr>
      <w:r>
        <w:rPr>
          <w:rStyle w:val="FootnoteReference"/>
        </w:rPr>
        <w:footnoteRef/>
      </w:r>
      <w:r>
        <w:t xml:space="preserve"> </w:t>
      </w:r>
      <w:r>
        <w:t xml:space="preserve">[@matache2016]</w:t>
      </w:r>
      <w:r>
        <w:t xml:space="preserve">.</w:t>
      </w:r>
    </w:p>
  </w:footnote>
  <w:footnote w:id="12">
    <w:p>
      <w:pPr>
        <w:pStyle w:val="FootnoteText"/>
      </w:pPr>
      <w:r>
        <w:rPr>
          <w:rStyle w:val="FootnoteReference"/>
        </w:rPr>
        <w:footnoteRef/>
      </w:r>
      <w:r>
        <w:t xml:space="preserve"> </w:t>
      </w:r>
      <w:r>
        <w:t xml:space="preserve">[@taba2021]</w:t>
      </w:r>
      <w:r>
        <w:t xml:space="preserve">.</w:t>
      </w:r>
    </w:p>
  </w:footnote>
  <w:footnote w:id="13">
    <w:p>
      <w:pPr>
        <w:pStyle w:val="FootnoteText"/>
      </w:pPr>
      <w:r>
        <w:rPr>
          <w:rStyle w:val="FootnoteReference"/>
        </w:rPr>
        <w:footnoteRef/>
      </w:r>
      <w:r>
        <w:t xml:space="preserve"> </w:t>
      </w:r>
      <w:r>
        <w:t xml:space="preserve">[@cesaire2000]</w:t>
      </w:r>
      <w:r>
        <w:t xml:space="preserve">.</w:t>
      </w:r>
    </w:p>
  </w:footnote>
  <w:footnote w:id="14">
    <w:p>
      <w:pPr>
        <w:pStyle w:val="FootnoteText"/>
      </w:pPr>
      <w:r>
        <w:rPr>
          <w:rStyle w:val="FootnoteReference"/>
        </w:rPr>
        <w:footnoteRef/>
      </w:r>
      <w:r>
        <w:t xml:space="preserve"> </w:t>
      </w:r>
      <w:r>
        <w:t xml:space="preserve">Podobne dociekania</w:t>
      </w:r>
      <w:r>
        <w:t xml:space="preserve"> </w:t>
      </w:r>
      <w:r>
        <w:t xml:space="preserve">[zob. @parvulescu2022]</w:t>
      </w:r>
      <w:r>
        <w:t xml:space="preserve">.</w:t>
      </w:r>
    </w:p>
  </w:footnote>
  <w:footnote w:id="15">
    <w:p>
      <w:pPr>
        <w:pStyle w:val="FootnoteText"/>
      </w:pPr>
      <w:r>
        <w:rPr>
          <w:rStyle w:val="FootnoteReference"/>
        </w:rPr>
        <w:footnoteRef/>
      </w:r>
      <w:r>
        <w:t xml:space="preserve"> </w:t>
      </w:r>
      <w:r>
        <w:t xml:space="preserve">[@fraser1992]</w:t>
      </w:r>
      <w:r>
        <w:t xml:space="preserve">.</w:t>
      </w:r>
    </w:p>
  </w:footnote>
  <w:footnote w:id="16">
    <w:p>
      <w:pPr>
        <w:pStyle w:val="FootnoteText"/>
      </w:pPr>
      <w:r>
        <w:rPr>
          <w:rStyle w:val="FootnoteReference"/>
        </w:rPr>
        <w:footnoteRef/>
      </w:r>
      <w:r>
        <w:t xml:space="preserve"> </w:t>
      </w:r>
      <w:r>
        <w:t xml:space="preserve">[@law2018, s. 78]</w:t>
      </w:r>
      <w:r>
        <w:t xml:space="preserve">.</w:t>
      </w:r>
    </w:p>
  </w:footnote>
  <w:footnote w:id="17">
    <w:p>
      <w:pPr>
        <w:pStyle w:val="FootnoteText"/>
      </w:pPr>
      <w:r>
        <w:rPr>
          <w:rStyle w:val="FootnoteReference"/>
        </w:rPr>
        <w:footnoteRef/>
      </w:r>
      <w:r>
        <w:t xml:space="preserve"> </w:t>
      </w:r>
      <w:r>
        <w:t xml:space="preserve">[Cyt. za @shahar2007, s. 5]</w:t>
      </w:r>
      <w:r>
        <w:t xml:space="preserve">. [Tłum. z przekładu angielskiego – przyp. tłum.]</w:t>
      </w:r>
    </w:p>
  </w:footnote>
  <w:footnote w:id="18">
    <w:p>
      <w:pPr>
        <w:pStyle w:val="FootnoteText"/>
      </w:pPr>
      <w:r>
        <w:rPr>
          <w:rStyle w:val="FootnoteReference"/>
        </w:rPr>
        <w:footnoteRef/>
      </w:r>
      <w:r>
        <w:t xml:space="preserve"> </w:t>
      </w:r>
      <w:r>
        <w:t xml:space="preserve">[Cyt. za @fraser1992, s. 67]</w:t>
      </w:r>
      <w:r>
        <w:t xml:space="preserve">.</w:t>
      </w:r>
    </w:p>
  </w:footnote>
  <w:footnote w:id="19">
    <w:p>
      <w:pPr>
        <w:pStyle w:val="FootnoteText"/>
      </w:pPr>
      <w:r>
        <w:rPr>
          <w:rStyle w:val="FootnoteReference"/>
        </w:rPr>
        <w:footnoteRef/>
      </w:r>
      <w:r>
        <w:t xml:space="preserve"> </w:t>
      </w:r>
      <w:r>
        <w:t xml:space="preserve">[@fraser1992]</w:t>
      </w:r>
      <w:r>
        <w:t xml:space="preserve">.</w:t>
      </w:r>
    </w:p>
  </w:footnote>
  <w:footnote w:id="20">
    <w:p>
      <w:pPr>
        <w:pStyle w:val="FootnoteText"/>
      </w:pPr>
      <w:r>
        <w:rPr>
          <w:rStyle w:val="FootnoteReference"/>
        </w:rPr>
        <w:footnoteRef/>
      </w:r>
      <w:r>
        <w:t xml:space="preserve"> </w:t>
      </w:r>
      <w:r>
        <w:t xml:space="preserve">[@demeter2000, s. 31–32]</w:t>
      </w:r>
      <w:r>
        <w:t xml:space="preserve">.</w:t>
      </w:r>
    </w:p>
  </w:footnote>
  <w:footnote w:id="21">
    <w:p>
      <w:pPr>
        <w:pStyle w:val="FootnoteText"/>
      </w:pPr>
      <w:r>
        <w:rPr>
          <w:rStyle w:val="FootnoteReference"/>
        </w:rPr>
        <w:footnoteRef/>
      </w:r>
      <w:r>
        <w:t xml:space="preserve"> </w:t>
      </w:r>
      <w:r>
        <w:t xml:space="preserve">[@said1978]</w:t>
      </w:r>
      <w:r>
        <w:t xml:space="preserve">.</w:t>
      </w:r>
    </w:p>
  </w:footnote>
  <w:footnote w:id="22">
    <w:p>
      <w:pPr>
        <w:pStyle w:val="FootnoteText"/>
      </w:pPr>
      <w:r>
        <w:rPr>
          <w:rStyle w:val="FootnoteReference"/>
        </w:rPr>
        <w:footnoteRef/>
      </w:r>
      <w:r>
        <w:t xml:space="preserve"> </w:t>
      </w:r>
      <w:r>
        <w:t xml:space="preserve">[@robinson2000]</w:t>
      </w:r>
      <w:r>
        <w:t xml:space="preserve">.</w:t>
      </w:r>
    </w:p>
  </w:footnote>
  <w:footnote w:id="23">
    <w:p>
      <w:pPr>
        <w:pStyle w:val="FootnoteText"/>
      </w:pPr>
      <w:r>
        <w:rPr>
          <w:rStyle w:val="FootnoteReference"/>
        </w:rPr>
        <w:footnoteRef/>
      </w:r>
      <w:r>
        <w:t xml:space="preserve"> </w:t>
      </w:r>
      <w:r>
        <w:t xml:space="preserve">[@robinson2000, s. 2, 21]</w:t>
      </w:r>
      <w:r>
        <w:t xml:space="preserve">.</w:t>
      </w:r>
    </w:p>
  </w:footnote>
  <w:footnote w:id="24">
    <w:p>
      <w:pPr>
        <w:pStyle w:val="FootnoteText"/>
      </w:pPr>
      <w:r>
        <w:rPr>
          <w:rStyle w:val="FootnoteReference"/>
        </w:rPr>
        <w:footnoteRef/>
      </w:r>
      <w:r>
        <w:t xml:space="preserve"> </w:t>
      </w:r>
      <w:r>
        <w:t xml:space="preserve">[@robinson2000, s. 67]</w:t>
      </w:r>
      <w:r>
        <w:t xml:space="preserve">.</w:t>
      </w:r>
    </w:p>
  </w:footnote>
  <w:footnote w:id="25">
    <w:p>
      <w:pPr>
        <w:pStyle w:val="FootnoteText"/>
      </w:pPr>
      <w:r>
        <w:rPr>
          <w:rStyle w:val="FootnoteReference"/>
        </w:rPr>
        <w:footnoteRef/>
      </w:r>
      <w:r>
        <w:t xml:space="preserve"> </w:t>
      </w:r>
      <w:r>
        <w:t xml:space="preserve">[@wynter2003; @shohat2012; @baker2018]</w:t>
      </w:r>
      <w:r>
        <w:t xml:space="preserve">.</w:t>
      </w:r>
    </w:p>
  </w:footnote>
  <w:footnote w:id="26">
    <w:p>
      <w:pPr>
        <w:pStyle w:val="FootnoteText"/>
      </w:pPr>
      <w:r>
        <w:rPr>
          <w:rStyle w:val="FootnoteReference"/>
        </w:rPr>
        <w:footnoteRef/>
      </w:r>
      <w:r>
        <w:t xml:space="preserve"> </w:t>
      </w:r>
      <w:r>
        <w:t xml:space="preserve">[@shohat2012]</w:t>
      </w:r>
      <w:r>
        <w:t xml:space="preserve">.</w:t>
      </w:r>
    </w:p>
  </w:footnote>
  <w:footnote w:id="27">
    <w:p>
      <w:pPr>
        <w:pStyle w:val="FootnoteText"/>
      </w:pPr>
      <w:r>
        <w:rPr>
          <w:rStyle w:val="FootnoteReference"/>
        </w:rPr>
        <w:footnoteRef/>
      </w:r>
      <w:r>
        <w:t xml:space="preserve"> </w:t>
      </w:r>
      <w:r>
        <w:t xml:space="preserve">[@shohat2012, s. 155]</w:t>
      </w:r>
      <w:r>
        <w:t xml:space="preserve">.</w:t>
      </w:r>
    </w:p>
  </w:footnote>
  <w:footnote w:id="28">
    <w:p>
      <w:pPr>
        <w:pStyle w:val="FootnoteText"/>
      </w:pPr>
      <w:r>
        <w:rPr>
          <w:rStyle w:val="FootnoteReference"/>
        </w:rPr>
        <w:footnoteRef/>
      </w:r>
      <w:r>
        <w:t xml:space="preserve"> </w:t>
      </w:r>
      <w:r>
        <w:t xml:space="preserve">[@wynter2003]</w:t>
      </w:r>
      <w:r>
        <w:t xml:space="preserve">.</w:t>
      </w:r>
    </w:p>
  </w:footnote>
  <w:footnote w:id="29">
    <w:p>
      <w:pPr>
        <w:pStyle w:val="FootnoteText"/>
      </w:pPr>
      <w:r>
        <w:rPr>
          <w:rStyle w:val="FootnoteReference"/>
        </w:rPr>
        <w:footnoteRef/>
      </w:r>
      <w:r>
        <w:t xml:space="preserve"> </w:t>
      </w:r>
      <w:r>
        <w:t xml:space="preserve">[@wynter2003, s. 309]</w:t>
      </w:r>
      <w:r>
        <w:t xml:space="preserve">.</w:t>
      </w:r>
    </w:p>
  </w:footnote>
  <w:footnote w:id="30">
    <w:p>
      <w:pPr>
        <w:pStyle w:val="FootnoteText"/>
      </w:pPr>
      <w:r>
        <w:rPr>
          <w:rStyle w:val="FootnoteReference"/>
        </w:rPr>
        <w:footnoteRef/>
      </w:r>
      <w:r>
        <w:t xml:space="preserve"> </w:t>
      </w:r>
      <w:r>
        <w:t xml:space="preserve">[@wynter2003]</w:t>
      </w:r>
      <w:r>
        <w:t xml:space="preserve">.</w:t>
      </w:r>
    </w:p>
  </w:footnote>
  <w:footnote w:id="31">
    <w:p>
      <w:pPr>
        <w:pStyle w:val="FootnoteText"/>
      </w:pPr>
      <w:r>
        <w:rPr>
          <w:rStyle w:val="FootnoteReference"/>
        </w:rPr>
        <w:footnoteRef/>
      </w:r>
      <w:r>
        <w:t xml:space="preserve"> </w:t>
      </w:r>
      <w:r>
        <w:t xml:space="preserve">[@wynter2003]</w:t>
      </w:r>
      <w:r>
        <w:t xml:space="preserve">.</w:t>
      </w:r>
    </w:p>
  </w:footnote>
  <w:footnote w:id="32">
    <w:p>
      <w:pPr>
        <w:pStyle w:val="FootnoteText"/>
      </w:pPr>
      <w:r>
        <w:rPr>
          <w:rStyle w:val="FootnoteReference"/>
        </w:rPr>
        <w:footnoteRef/>
      </w:r>
      <w:r>
        <w:t xml:space="preserve"> </w:t>
      </w:r>
      <w:r>
        <w:t xml:space="preserve">[@law2012, s. 37–38]</w:t>
      </w:r>
      <w:r>
        <w:t xml:space="preserve">.</w:t>
      </w:r>
    </w:p>
  </w:footnote>
  <w:footnote w:id="33">
    <w:p>
      <w:pPr>
        <w:pStyle w:val="FootnoteText"/>
      </w:pPr>
      <w:r>
        <w:rPr>
          <w:rStyle w:val="FootnoteReference"/>
        </w:rPr>
        <w:footnoteRef/>
      </w:r>
      <w:r>
        <w:t xml:space="preserve"> </w:t>
      </w:r>
      <w:r>
        <w:t xml:space="preserve">[Cyt. za @fraser1992, s. 85]</w:t>
      </w:r>
      <w:r>
        <w:t xml:space="preserve">.</w:t>
      </w:r>
    </w:p>
  </w:footnote>
  <w:footnote w:id="34">
    <w:p>
      <w:pPr>
        <w:pStyle w:val="FootnoteText"/>
      </w:pPr>
      <w:r>
        <w:rPr>
          <w:rStyle w:val="FootnoteReference"/>
        </w:rPr>
        <w:footnoteRef/>
      </w:r>
      <w:r>
        <w:t xml:space="preserve"> </w:t>
      </w:r>
      <w:r>
        <w:t xml:space="preserve">[@fraser1992]</w:t>
      </w:r>
      <w:r>
        <w:t xml:space="preserve">.</w:t>
      </w:r>
    </w:p>
  </w:footnote>
  <w:footnote w:id="35">
    <w:p>
      <w:pPr>
        <w:pStyle w:val="FootnoteText"/>
      </w:pPr>
      <w:r>
        <w:rPr>
          <w:rStyle w:val="FootnoteReference"/>
        </w:rPr>
        <w:footnoteRef/>
      </w:r>
      <w:r>
        <w:t xml:space="preserve"> </w:t>
      </w:r>
      <w:r>
        <w:t xml:space="preserve">[@fraser1992; @crowe2007]</w:t>
      </w:r>
      <w:r>
        <w:t xml:space="preserve">.</w:t>
      </w:r>
    </w:p>
  </w:footnote>
  <w:footnote w:id="36">
    <w:p>
      <w:pPr>
        <w:pStyle w:val="FootnoteText"/>
      </w:pPr>
      <w:r>
        <w:rPr>
          <w:rStyle w:val="FootnoteReference"/>
        </w:rPr>
        <w:footnoteRef/>
      </w:r>
      <w:r>
        <w:t xml:space="preserve"> </w:t>
      </w:r>
      <w:r>
        <w:t xml:space="preserve">[@fraser1992, s. 100]</w:t>
      </w:r>
      <w:r>
        <w:t xml:space="preserve">.</w:t>
      </w:r>
    </w:p>
  </w:footnote>
  <w:footnote w:id="37">
    <w:p>
      <w:pPr>
        <w:pStyle w:val="FootnoteText"/>
      </w:pPr>
      <w:r>
        <w:rPr>
          <w:rStyle w:val="FootnoteReference"/>
        </w:rPr>
        <w:footnoteRef/>
      </w:r>
      <w:r>
        <w:t xml:space="preserve"> </w:t>
      </w:r>
      <w:r>
        <w:t xml:space="preserve">[@fraser1992, s. 130]</w:t>
      </w:r>
      <w:r>
        <w:t xml:space="preserve">.</w:t>
      </w:r>
    </w:p>
  </w:footnote>
  <w:footnote w:id="38">
    <w:p>
      <w:pPr>
        <w:pStyle w:val="FootnoteText"/>
      </w:pPr>
      <w:r>
        <w:rPr>
          <w:rStyle w:val="FootnoteReference"/>
        </w:rPr>
        <w:footnoteRef/>
      </w:r>
      <w:r>
        <w:t xml:space="preserve"> </w:t>
      </w:r>
      <w:r>
        <w:t xml:space="preserve">[@crowe2007, s. 34]</w:t>
      </w:r>
      <w:r>
        <w:t xml:space="preserve">.</w:t>
      </w:r>
    </w:p>
  </w:footnote>
  <w:footnote w:id="39">
    <w:p>
      <w:pPr>
        <w:pStyle w:val="FootnoteText"/>
      </w:pPr>
      <w:r>
        <w:rPr>
          <w:rStyle w:val="FootnoteReference"/>
        </w:rPr>
        <w:footnoteRef/>
      </w:r>
      <w:r>
        <w:t xml:space="preserve"> </w:t>
      </w:r>
      <w:r>
        <w:t xml:space="preserve">[@mroz2015, s. 96]</w:t>
      </w:r>
      <w:r>
        <w:t xml:space="preserve">.</w:t>
      </w:r>
    </w:p>
  </w:footnote>
  <w:footnote w:id="40">
    <w:p>
      <w:pPr>
        <w:pStyle w:val="FootnoteText"/>
      </w:pPr>
      <w:r>
        <w:rPr>
          <w:rStyle w:val="FootnoteReference"/>
        </w:rPr>
        <w:footnoteRef/>
      </w:r>
      <w:r>
        <w:t xml:space="preserve"> </w:t>
      </w:r>
      <w:r>
        <w:t xml:space="preserve">[@law2018, s. 78–80]</w:t>
      </w:r>
      <w:r>
        <w:t xml:space="preserve">.</w:t>
      </w:r>
    </w:p>
  </w:footnote>
  <w:footnote w:id="41">
    <w:p>
      <w:pPr>
        <w:pStyle w:val="FootnoteText"/>
      </w:pPr>
      <w:r>
        <w:rPr>
          <w:rStyle w:val="FootnoteReference"/>
        </w:rPr>
        <w:footnoteRef/>
      </w:r>
      <w:r>
        <w:t xml:space="preserve"> </w:t>
      </w:r>
      <w:r>
        <w:t xml:space="preserve">[@law2018, s. 80]</w:t>
      </w:r>
      <w:r>
        <w:t xml:space="preserve">.</w:t>
      </w:r>
    </w:p>
  </w:footnote>
  <w:footnote w:id="42">
    <w:p>
      <w:pPr>
        <w:pStyle w:val="FootnoteText"/>
      </w:pPr>
      <w:r>
        <w:rPr>
          <w:rStyle w:val="FootnoteReference"/>
        </w:rPr>
        <w:footnoteRef/>
      </w:r>
      <w:r>
        <w:t xml:space="preserve"> </w:t>
      </w:r>
      <w:r>
        <w:t xml:space="preserve">[@crowe2007]</w:t>
      </w:r>
      <w:r>
        <w:t xml:space="preserve">.</w:t>
      </w:r>
    </w:p>
  </w:footnote>
  <w:footnote w:id="43">
    <w:p>
      <w:pPr>
        <w:pStyle w:val="FootnoteText"/>
      </w:pPr>
      <w:r>
        <w:rPr>
          <w:rStyle w:val="FootnoteReference"/>
        </w:rPr>
        <w:footnoteRef/>
      </w:r>
      <w:r>
        <w:t xml:space="preserve"> </w:t>
      </w:r>
      <w:r>
        <w:t xml:space="preserve">[@mroz2015]</w:t>
      </w:r>
      <w:r>
        <w:t xml:space="preserve">.</w:t>
      </w:r>
    </w:p>
  </w:footnote>
  <w:footnote w:id="44">
    <w:p>
      <w:pPr>
        <w:pStyle w:val="FootnoteText"/>
      </w:pPr>
      <w:r>
        <w:rPr>
          <w:rStyle w:val="FootnoteReference"/>
        </w:rPr>
        <w:footnoteRef/>
      </w:r>
      <w:r>
        <w:t xml:space="preserve"> </w:t>
      </w:r>
      <w:r>
        <w:t xml:space="preserve">[@chervinski2008]</w:t>
      </w:r>
      <w:r>
        <w:t xml:space="preserve">.</w:t>
      </w:r>
    </w:p>
  </w:footnote>
  <w:footnote w:id="45">
    <w:p>
      <w:pPr>
        <w:pStyle w:val="FootnoteText"/>
      </w:pPr>
      <w:r>
        <w:rPr>
          <w:rStyle w:val="FootnoteReference"/>
        </w:rPr>
        <w:footnoteRef/>
      </w:r>
      <w:r>
        <w:t xml:space="preserve"> </w:t>
      </w:r>
      <w:r>
        <w:t xml:space="preserve">Pod panowaniem osmańskim Wołoszczyzna i Mołdawia pozostały księstwami chrześcijańskimi i zachowały kontrolę nad swoimi sprawami wewnętrznymi (1992, 81);</w:t>
      </w:r>
      <w:r>
        <w:t xml:space="preserve"> </w:t>
      </w:r>
      <w:r>
        <w:t xml:space="preserve">[@crowe2007, s. 109]</w:t>
      </w:r>
      <w:r>
        <w:t xml:space="preserve">.</w:t>
      </w:r>
      <w:r>
        <w:t xml:space="preserve"> </w:t>
      </w:r>
      <w:commentRangeStart w:id="6"/>
      <w:commentRangeEnd w:id="6"/>
      <w:r>
        <w:rPr>
          <w:rStyle w:val="CommentReference"/>
        </w:rPr>
        <w:commentReference w:id="6"/>
      </w:r>
    </w:p>
  </w:footnote>
  <w:footnote w:id="46">
    <w:p>
      <w:pPr>
        <w:pStyle w:val="FootnoteText"/>
      </w:pPr>
      <w:r>
        <w:rPr>
          <w:rStyle w:val="FootnoteReference"/>
        </w:rPr>
        <w:footnoteRef/>
      </w:r>
      <w:r>
        <w:t xml:space="preserve"> </w:t>
      </w:r>
      <w:r>
        <w:t xml:space="preserve">[@hancock1987; @gheorghe1991; @achim2004; @matache2020]</w:t>
      </w:r>
      <w:r>
        <w:t xml:space="preserve">.</w:t>
      </w:r>
    </w:p>
  </w:footnote>
  <w:footnote w:id="47">
    <w:p>
      <w:pPr>
        <w:pStyle w:val="FootnoteText"/>
      </w:pPr>
      <w:r>
        <w:rPr>
          <w:rStyle w:val="FootnoteReference"/>
        </w:rPr>
        <w:footnoteRef/>
      </w:r>
      <w:r>
        <w:t xml:space="preserve"> </w:t>
      </w:r>
      <w:r>
        <w:t xml:space="preserve">[@fraser1992; @achim2004]</w:t>
      </w:r>
      <w:r>
        <w:t xml:space="preserve">.</w:t>
      </w:r>
    </w:p>
  </w:footnote>
  <w:footnote w:id="48">
    <w:p>
      <w:pPr>
        <w:pStyle w:val="FootnoteText"/>
      </w:pPr>
      <w:r>
        <w:rPr>
          <w:rStyle w:val="FootnoteReference"/>
        </w:rPr>
        <w:footnoteRef/>
      </w:r>
      <w:r>
        <w:t xml:space="preserve"> </w:t>
      </w:r>
      <w:r>
        <w:t xml:space="preserve">[@crowe2007, s. 118]</w:t>
      </w:r>
      <w:r>
        <w:t xml:space="preserve">.</w:t>
      </w:r>
    </w:p>
  </w:footnote>
  <w:footnote w:id="49">
    <w:p>
      <w:pPr>
        <w:pStyle w:val="FootnoteText"/>
      </w:pPr>
      <w:r>
        <w:rPr>
          <w:rStyle w:val="FootnoteReference"/>
        </w:rPr>
        <w:footnoteRef/>
      </w:r>
      <w:r>
        <w:t xml:space="preserve"> </w:t>
      </w:r>
      <w:r>
        <w:t xml:space="preserve">[@crowe2007]</w:t>
      </w:r>
      <w:r>
        <w:t xml:space="preserve">.</w:t>
      </w:r>
    </w:p>
  </w:footnote>
  <w:footnote w:id="50">
    <w:p>
      <w:pPr>
        <w:pStyle w:val="FootnoteText"/>
      </w:pPr>
      <w:r>
        <w:rPr>
          <w:rStyle w:val="FootnoteReference"/>
        </w:rPr>
        <w:footnoteRef/>
      </w:r>
      <w:r>
        <w:t xml:space="preserve"> </w:t>
      </w:r>
      <w:r>
        <w:t xml:space="preserve">[@crowe2007, s. 72–73]</w:t>
      </w:r>
      <w:r>
        <w:t xml:space="preserve">.</w:t>
      </w:r>
    </w:p>
  </w:footnote>
  <w:footnote w:id="51">
    <w:p>
      <w:pPr>
        <w:pStyle w:val="FootnoteText"/>
      </w:pPr>
      <w:r>
        <w:rPr>
          <w:rStyle w:val="FootnoteReference"/>
        </w:rPr>
        <w:footnoteRef/>
      </w:r>
      <w:r>
        <w:t xml:space="preserve"> </w:t>
      </w:r>
      <w:r>
        <w:t xml:space="preserve">[@horvathova1964, s. 375–376; @demeter2000, s. 49]</w:t>
      </w:r>
      <w:r>
        <w:t xml:space="preserve">.</w:t>
      </w:r>
    </w:p>
  </w:footnote>
  <w:footnote w:id="52">
    <w:p>
      <w:pPr>
        <w:pStyle w:val="FootnoteText"/>
      </w:pPr>
      <w:r>
        <w:rPr>
          <w:rStyle w:val="FootnoteReference"/>
        </w:rPr>
        <w:footnoteRef/>
      </w:r>
      <w:r>
        <w:t xml:space="preserve"> </w:t>
      </w:r>
      <w:r>
        <w:t xml:space="preserve">[@mroz2015]</w:t>
      </w:r>
      <w:r>
        <w:t xml:space="preserve">.</w:t>
      </w:r>
    </w:p>
  </w:footnote>
  <w:footnote w:id="53">
    <w:p>
      <w:pPr>
        <w:pStyle w:val="FootnoteText"/>
      </w:pPr>
      <w:r>
        <w:rPr>
          <w:rStyle w:val="FootnoteReference"/>
        </w:rPr>
        <w:footnoteRef/>
      </w:r>
      <w:r>
        <w:t xml:space="preserve"> </w:t>
      </w:r>
      <w:r>
        <w:t xml:space="preserve">[@fraser1992; @zinevych2001; @mroz2015]</w:t>
      </w:r>
      <w:r>
        <w:t xml:space="preserve">.</w:t>
      </w:r>
    </w:p>
  </w:footnote>
  <w:footnote w:id="54">
    <w:p>
      <w:pPr>
        <w:pStyle w:val="FootnoteText"/>
      </w:pPr>
      <w:r>
        <w:rPr>
          <w:rStyle w:val="FootnoteReference"/>
        </w:rPr>
        <w:footnoteRef/>
      </w:r>
      <w:r>
        <w:t xml:space="preserve"> </w:t>
      </w:r>
      <w:r>
        <w:t xml:space="preserve">[@mroz2015, s. 118–119]</w:t>
      </w:r>
      <w:r>
        <w:t xml:space="preserve">.</w:t>
      </w:r>
    </w:p>
  </w:footnote>
  <w:footnote w:id="55">
    <w:p>
      <w:pPr>
        <w:pStyle w:val="FootnoteText"/>
      </w:pPr>
      <w:r>
        <w:rPr>
          <w:rStyle w:val="FootnoteReference"/>
        </w:rPr>
        <w:footnoteRef/>
      </w:r>
      <w:r>
        <w:t xml:space="preserve"> </w:t>
      </w:r>
      <w:r>
        <w:t xml:space="preserve">[@bielikov2003; @mroz2015, s. 17, 58]</w:t>
      </w:r>
      <w:r>
        <w:t xml:space="preserve">.</w:t>
      </w:r>
    </w:p>
  </w:footnote>
  <w:footnote w:id="56">
    <w:p>
      <w:pPr>
        <w:pStyle w:val="FootnoteText"/>
      </w:pPr>
      <w:r>
        <w:rPr>
          <w:rStyle w:val="FootnoteReference"/>
        </w:rPr>
        <w:footnoteRef/>
      </w:r>
      <w:r>
        <w:t xml:space="preserve"> </w:t>
      </w:r>
      <w:r>
        <w:t xml:space="preserve">[@chervinski2008]</w:t>
      </w:r>
      <w:r>
        <w:t xml:space="preserve">.</w:t>
      </w:r>
    </w:p>
  </w:footnote>
  <w:footnote w:id="57">
    <w:p>
      <w:pPr>
        <w:pStyle w:val="FootnoteText"/>
      </w:pPr>
      <w:r>
        <w:rPr>
          <w:rStyle w:val="FootnoteReference"/>
        </w:rPr>
        <w:footnoteRef/>
      </w:r>
      <w:r>
        <w:t xml:space="preserve"> </w:t>
      </w:r>
      <w:r>
        <w:t xml:space="preserve">[@chervinski2008; @mroz2015]</w:t>
      </w:r>
      <w:r>
        <w:t xml:space="preserve">.</w:t>
      </w:r>
    </w:p>
  </w:footnote>
  <w:footnote w:id="58">
    <w:p>
      <w:pPr>
        <w:pStyle w:val="FootnoteText"/>
      </w:pPr>
      <w:r>
        <w:rPr>
          <w:rStyle w:val="FootnoteReference"/>
        </w:rPr>
        <w:footnoteRef/>
      </w:r>
      <w:r>
        <w:t xml:space="preserve"> </w:t>
      </w:r>
      <w:r>
        <w:t xml:space="preserve">[@bielikov2003; @mroz2015]</w:t>
      </w:r>
      <w:r>
        <w:t xml:space="preserve">.</w:t>
      </w:r>
    </w:p>
  </w:footnote>
  <w:footnote w:id="59">
    <w:p>
      <w:pPr>
        <w:pStyle w:val="FootnoteText"/>
      </w:pPr>
      <w:r>
        <w:rPr>
          <w:rStyle w:val="FootnoteReference"/>
        </w:rPr>
        <w:footnoteRef/>
      </w:r>
      <w:r>
        <w:t xml:space="preserve"> </w:t>
      </w:r>
      <w:r>
        <w:t xml:space="preserve">[@mroz2015, s. 161]</w:t>
      </w:r>
      <w:r>
        <w:t xml:space="preserve">.</w:t>
      </w:r>
    </w:p>
  </w:footnote>
  <w:footnote w:id="60">
    <w:p>
      <w:pPr>
        <w:pStyle w:val="FootnoteText"/>
      </w:pPr>
      <w:r>
        <w:rPr>
          <w:rStyle w:val="FootnoteReference"/>
        </w:rPr>
        <w:footnoteRef/>
      </w:r>
      <w:r>
        <w:t xml:space="preserve"> </w:t>
      </w:r>
      <w:r>
        <w:t xml:space="preserve">[@mroz2015, s. 254–255]</w:t>
      </w:r>
      <w:r>
        <w:t xml:space="preserve">.</w:t>
      </w:r>
    </w:p>
  </w:footnote>
  <w:footnote w:id="61">
    <w:p>
      <w:pPr>
        <w:pStyle w:val="FootnoteText"/>
      </w:pPr>
      <w:r>
        <w:rPr>
          <w:rStyle w:val="FootnoteReference"/>
        </w:rPr>
        <w:footnoteRef/>
      </w:r>
      <w:r>
        <w:t xml:space="preserve"> </w:t>
      </w:r>
      <w:r>
        <w:t xml:space="preserve">[@law2018, s. 81]</w:t>
      </w:r>
      <w:r>
        <w:t xml:space="preserve">.</w:t>
      </w:r>
    </w:p>
  </w:footnote>
  <w:footnote w:id="62">
    <w:p>
      <w:pPr>
        <w:pStyle w:val="FootnoteText"/>
      </w:pPr>
      <w:r>
        <w:rPr>
          <w:rStyle w:val="FootnoteReference"/>
        </w:rPr>
        <w:footnoteRef/>
      </w:r>
      <w:r>
        <w:t xml:space="preserve"> </w:t>
      </w:r>
      <w:r>
        <w:t xml:space="preserve">[@demeter2000; @zinevych2001; @mroz2015]</w:t>
      </w:r>
      <w:r>
        <w:t xml:space="preserve">.</w:t>
      </w:r>
    </w:p>
  </w:footnote>
  <w:footnote w:id="63">
    <w:p>
      <w:pPr>
        <w:pStyle w:val="FootnoteText"/>
      </w:pPr>
      <w:r>
        <w:rPr>
          <w:rStyle w:val="FootnoteReference"/>
        </w:rPr>
        <w:footnoteRef/>
      </w:r>
      <w:r>
        <w:t xml:space="preserve"> </w:t>
      </w:r>
      <w:r>
        <w:t xml:space="preserve">[@bielikov2003]</w:t>
      </w:r>
      <w:r>
        <w:t xml:space="preserve">.</w:t>
      </w:r>
    </w:p>
  </w:footnote>
  <w:footnote w:id="64">
    <w:p>
      <w:pPr>
        <w:pStyle w:val="FootnoteText"/>
      </w:pPr>
      <w:r>
        <w:rPr>
          <w:rStyle w:val="FootnoteReference"/>
        </w:rPr>
        <w:footnoteRef/>
      </w:r>
      <w:r>
        <w:t xml:space="preserve"> </w:t>
      </w:r>
      <w:r>
        <w:t xml:space="preserve">[@zelenchuk1979, s. 213]</w:t>
      </w:r>
      <w:r>
        <w:t xml:space="preserve">.</w:t>
      </w:r>
    </w:p>
  </w:footnote>
  <w:footnote w:id="65">
    <w:p>
      <w:pPr>
        <w:pStyle w:val="FootnoteText"/>
      </w:pPr>
      <w:r>
        <w:rPr>
          <w:rStyle w:val="FootnoteReference"/>
        </w:rPr>
        <w:footnoteRef/>
      </w:r>
      <w:r>
        <w:t xml:space="preserve"> </w:t>
      </w:r>
      <w:r>
        <w:t xml:space="preserve">[@demeter2000, s. 186; @shaidurov2018, s. 204]</w:t>
      </w:r>
      <w:r>
        <w:t xml:space="preserve">.</w:t>
      </w:r>
    </w:p>
  </w:footnote>
  <w:footnote w:id="66">
    <w:p>
      <w:pPr>
        <w:pStyle w:val="FootnoteText"/>
      </w:pPr>
      <w:r>
        <w:rPr>
          <w:rStyle w:val="FootnoteReference"/>
        </w:rPr>
        <w:footnoteRef/>
      </w:r>
      <w:r>
        <w:t xml:space="preserve"> </w:t>
      </w:r>
      <w:r>
        <w:t xml:space="preserve">[@zinevych2001, s. 44]</w:t>
      </w:r>
      <w:r>
        <w:t xml:space="preserve">.</w:t>
      </w:r>
    </w:p>
  </w:footnote>
  <w:footnote w:id="67">
    <w:p>
      <w:pPr>
        <w:pStyle w:val="FootnoteText"/>
      </w:pPr>
      <w:r>
        <w:rPr>
          <w:rStyle w:val="FootnoteReference"/>
        </w:rPr>
        <w:footnoteRef/>
      </w:r>
      <w:r>
        <w:t xml:space="preserve"> </w:t>
      </w:r>
      <w:r>
        <w:t xml:space="preserve">[@kistiakovskii1879, s. 820; zob. też @zinevych2001; @bielikov2008]</w:t>
      </w:r>
      <w:r>
        <w:t xml:space="preserve">.</w:t>
      </w:r>
    </w:p>
  </w:footnote>
  <w:footnote w:id="68">
    <w:p>
      <w:pPr>
        <w:pStyle w:val="FootnoteText"/>
      </w:pPr>
      <w:r>
        <w:rPr>
          <w:rStyle w:val="FootnoteReference"/>
        </w:rPr>
        <w:footnoteRef/>
      </w:r>
      <w:r>
        <w:t xml:space="preserve"> </w:t>
      </w:r>
      <w:r>
        <w:t xml:space="preserve">[@zinevych2001; @shaidurov2018]</w:t>
      </w:r>
      <w:r>
        <w:t xml:space="preserve">.</w:t>
      </w:r>
    </w:p>
  </w:footnote>
  <w:footnote w:id="69">
    <w:p>
      <w:pPr>
        <w:pStyle w:val="FootnoteText"/>
      </w:pPr>
      <w:r>
        <w:rPr>
          <w:rStyle w:val="FootnoteReference"/>
        </w:rPr>
        <w:footnoteRef/>
      </w:r>
      <w:r>
        <w:t xml:space="preserve"> </w:t>
      </w:r>
      <w:r>
        <w:t xml:space="preserve">[@smirnovaseslavinskaya2021, s. 85]</w:t>
      </w:r>
      <w:r>
        <w:t xml:space="preserve">.</w:t>
      </w:r>
    </w:p>
  </w:footnote>
  <w:footnote w:id="70">
    <w:p>
      <w:pPr>
        <w:pStyle w:val="FootnoteText"/>
      </w:pPr>
      <w:r>
        <w:rPr>
          <w:rStyle w:val="FootnoteReference"/>
        </w:rPr>
        <w:footnoteRef/>
      </w:r>
      <w:r>
        <w:t xml:space="preserve"> </w:t>
      </w:r>
      <w:r>
        <w:t xml:space="preserve">[@zelenchuk1979; @achim2004; @bielikov2008]</w:t>
      </w:r>
      <w:r>
        <w:t xml:space="preserve">.</w:t>
      </w:r>
    </w:p>
  </w:footnote>
  <w:footnote w:id="71">
    <w:p>
      <w:pPr>
        <w:pStyle w:val="FootnoteText"/>
      </w:pPr>
      <w:r>
        <w:rPr>
          <w:rStyle w:val="FootnoteReference"/>
        </w:rPr>
        <w:footnoteRef/>
      </w:r>
      <w:r>
        <w:t xml:space="preserve"> </w:t>
      </w:r>
      <w:r>
        <w:t xml:space="preserve">[@zelenchuk1979, s. 213–216]</w:t>
      </w:r>
      <w:r>
        <w:t xml:space="preserve">.</w:t>
      </w:r>
    </w:p>
  </w:footnote>
  <w:footnote w:id="72">
    <w:p>
      <w:pPr>
        <w:pStyle w:val="FootnoteText"/>
      </w:pPr>
      <w:r>
        <w:rPr>
          <w:rStyle w:val="FootnoteReference"/>
        </w:rPr>
        <w:footnoteRef/>
      </w:r>
      <w:r>
        <w:t xml:space="preserve"> </w:t>
      </w:r>
      <w:r>
        <w:t xml:space="preserve">[@bielikov2003, s. 87]</w:t>
      </w:r>
      <w:r>
        <w:t xml:space="preserve">.</w:t>
      </w:r>
    </w:p>
  </w:footnote>
  <w:footnote w:id="73">
    <w:p>
      <w:pPr>
        <w:pStyle w:val="FootnoteText"/>
      </w:pPr>
      <w:r>
        <w:rPr>
          <w:rStyle w:val="FootnoteReference"/>
        </w:rPr>
        <w:footnoteRef/>
      </w:r>
      <w:r>
        <w:t xml:space="preserve"> </w:t>
      </w:r>
      <w:r>
        <w:t xml:space="preserve">[@zinevych2001, s. 48]</w:t>
      </w:r>
      <w:r>
        <w:t xml:space="preserve">.</w:t>
      </w:r>
    </w:p>
  </w:footnote>
  <w:footnote w:id="74">
    <w:p>
      <w:pPr>
        <w:pStyle w:val="FootnoteText"/>
      </w:pPr>
      <w:r>
        <w:rPr>
          <w:rStyle w:val="FootnoteReference"/>
        </w:rPr>
        <w:footnoteRef/>
      </w:r>
      <w:r>
        <w:t xml:space="preserve"> </w:t>
      </w:r>
      <w:r>
        <w:t xml:space="preserve">[@crowe2007]</w:t>
      </w:r>
      <w:r>
        <w:t xml:space="preserve">.</w:t>
      </w:r>
    </w:p>
  </w:footnote>
  <w:footnote w:id="75">
    <w:p>
      <w:pPr>
        <w:pStyle w:val="FootnoteText"/>
      </w:pPr>
      <w:r>
        <w:rPr>
          <w:rStyle w:val="FootnoteReference"/>
        </w:rPr>
        <w:footnoteRef/>
      </w:r>
      <w:r>
        <w:t xml:space="preserve"> </w:t>
      </w:r>
      <w:r>
        <w:t xml:space="preserve">Choć Grellmann używał terminu</w:t>
      </w:r>
      <w:r>
        <w:t xml:space="preserve"> </w:t>
      </w:r>
      <w:r>
        <w:rPr>
          <w:i/>
          <w:iCs/>
        </w:rPr>
        <w:t xml:space="preserve">Zigeuner</w:t>
      </w:r>
      <w:r>
        <w:t xml:space="preserve">/</w:t>
      </w:r>
      <w:r>
        <w:t xml:space="preserve"> </w:t>
      </w:r>
      <w:r>
        <w:rPr>
          <w:i/>
          <w:iCs/>
        </w:rPr>
        <w:t xml:space="preserve">Gipsey</w:t>
      </w:r>
      <w:r>
        <w:t xml:space="preserve">, ja w całym artykule posługuję się określeniem „Romowie”, jak wyjaśniłam w przypisie 2, aby oddać nazwę autoidentyfikacyjną, powszechnie używaną przez romskich aktywistów i badaczy.</w:t>
      </w:r>
      <w:r>
        <w:t xml:space="preserve"> </w:t>
      </w:r>
      <w:commentRangeStart w:id="7"/>
      <w:commentRangeEnd w:id="7"/>
      <w:r>
        <w:rPr>
          <w:rStyle w:val="CommentReference"/>
        </w:rPr>
        <w:commentReference w:id="7"/>
      </w:r>
      <w:r>
        <w:t xml:space="preserve"> </w:t>
      </w:r>
      <w:r>
        <w:t xml:space="preserve">Przyznaję, że nie jest to przekład historycznie ścisły. Kategoria Grellmanna obejmowała nie tylko Romów, lecz także inne zmarginalizowane i mobilne grupy – w tym nieromskich Travellersów i ludzi bezdomnych – i była głęboko osadzona w oświeceniowych dyskursach klasyfikacji, kontroli populacji i urasowienia. Jego terminologia utrwalała postrzeganie tych grup jako irracjonalnych, obcych i społecznie dewiacyjnych, na podstawie wyznaczników społecznych, kulturowych i biologicznych. Chcę wydobyć na pierwszy plan trwałe skutki tych konstrukcji dla społeczności romskich, uwzględniając zarazem szerszy zasięg kategoryzacji Grellmanna.</w:t>
      </w:r>
    </w:p>
  </w:footnote>
  <w:footnote w:id="76">
    <w:p>
      <w:pPr>
        <w:pStyle w:val="FootnoteText"/>
      </w:pPr>
      <w:r>
        <w:rPr>
          <w:rStyle w:val="FootnoteReference"/>
        </w:rPr>
        <w:footnoteRef/>
      </w:r>
      <w:r>
        <w:t xml:space="preserve"> </w:t>
      </w:r>
      <w:r>
        <w:t xml:space="preserve">[@willems1997; @shmidt2020]</w:t>
      </w:r>
      <w:r>
        <w:t xml:space="preserve">.</w:t>
      </w:r>
    </w:p>
  </w:footnote>
  <w:footnote w:id="77">
    <w:p>
      <w:pPr>
        <w:pStyle w:val="FootnoteText"/>
      </w:pPr>
      <w:r>
        <w:rPr>
          <w:rStyle w:val="FootnoteReference"/>
        </w:rPr>
        <w:footnoteRef/>
      </w:r>
      <w:r>
        <w:t xml:space="preserve"> </w:t>
      </w:r>
      <w:r>
        <w:t xml:space="preserve">[@willems1997]</w:t>
      </w:r>
      <w:r>
        <w:t xml:space="preserve">.</w:t>
      </w:r>
    </w:p>
  </w:footnote>
  <w:footnote w:id="78">
    <w:p>
      <w:pPr>
        <w:pStyle w:val="FootnoteText"/>
      </w:pPr>
      <w:r>
        <w:rPr>
          <w:rStyle w:val="FootnoteReference"/>
        </w:rPr>
        <w:footnoteRef/>
      </w:r>
      <w:r>
        <w:t xml:space="preserve"> </w:t>
      </w:r>
      <w:r>
        <w:t xml:space="preserve">[@kirei1984, s. 113–114]</w:t>
      </w:r>
      <w:r>
        <w:t xml:space="preserve">.</w:t>
      </w:r>
    </w:p>
  </w:footnote>
  <w:footnote w:id="79">
    <w:p>
      <w:pPr>
        <w:pStyle w:val="FootnoteText"/>
      </w:pPr>
      <w:r>
        <w:rPr>
          <w:rStyle w:val="FootnoteReference"/>
        </w:rPr>
        <w:footnoteRef/>
      </w:r>
      <w:r>
        <w:t xml:space="preserve"> </w:t>
      </w:r>
      <w:r>
        <w:t xml:space="preserve">[@kirei1984, s. 118]</w:t>
      </w:r>
      <w:r>
        <w:t xml:space="preserve">.</w:t>
      </w:r>
    </w:p>
  </w:footnote>
  <w:footnote w:id="80">
    <w:p>
      <w:pPr>
        <w:pStyle w:val="FootnoteText"/>
      </w:pPr>
      <w:r>
        <w:rPr>
          <w:rStyle w:val="FootnoteReference"/>
        </w:rPr>
        <w:footnoteRef/>
      </w:r>
      <w:r>
        <w:t xml:space="preserve"> </w:t>
      </w:r>
      <w:r>
        <w:t xml:space="preserve">[@willems1997, s. 44]</w:t>
      </w:r>
      <w:r>
        <w:t xml:space="preserve">.</w:t>
      </w:r>
    </w:p>
  </w:footnote>
  <w:footnote w:id="81">
    <w:p>
      <w:pPr>
        <w:pStyle w:val="FootnoteText"/>
      </w:pPr>
      <w:r>
        <w:rPr>
          <w:rStyle w:val="FootnoteReference"/>
        </w:rPr>
        <w:footnoteRef/>
      </w:r>
      <w:r>
        <w:t xml:space="preserve"> </w:t>
      </w:r>
      <w:r>
        <w:t xml:space="preserve">[@shmidt2020, s. 57]</w:t>
      </w:r>
      <w:r>
        <w:t xml:space="preserve">.</w:t>
      </w:r>
    </w:p>
  </w:footnote>
  <w:footnote w:id="82">
    <w:p>
      <w:pPr>
        <w:pStyle w:val="FootnoteText"/>
      </w:pPr>
      <w:r>
        <w:rPr>
          <w:rStyle w:val="FootnoteReference"/>
        </w:rPr>
        <w:footnoteRef/>
      </w:r>
      <w:r>
        <w:t xml:space="preserve"> </w:t>
      </w:r>
      <w:r>
        <w:t xml:space="preserve">[@willems1997, s. 24]</w:t>
      </w:r>
      <w:r>
        <w:t xml:space="preserve">.</w:t>
      </w:r>
    </w:p>
  </w:footnote>
  <w:footnote w:id="83">
    <w:p>
      <w:pPr>
        <w:pStyle w:val="FootnoteText"/>
      </w:pPr>
      <w:r>
        <w:rPr>
          <w:rStyle w:val="FootnoteReference"/>
        </w:rPr>
        <w:footnoteRef/>
      </w:r>
      <w:r>
        <w:t xml:space="preserve"> </w:t>
      </w:r>
      <w:r>
        <w:t xml:space="preserve">[@hancock2008, s. 183]</w:t>
      </w:r>
      <w:r>
        <w:t xml:space="preserve">.</w:t>
      </w:r>
    </w:p>
  </w:footnote>
  <w:footnote w:id="84">
    <w:p>
      <w:pPr>
        <w:pStyle w:val="FootnoteText"/>
      </w:pPr>
      <w:r>
        <w:rPr>
          <w:rStyle w:val="FootnoteReference"/>
        </w:rPr>
        <w:footnoteRef/>
      </w:r>
      <w:r>
        <w:t xml:space="preserve"> </w:t>
      </w:r>
      <w:r>
        <w:t xml:space="preserve">[@mroz2015, s. 11]</w:t>
      </w:r>
      <w:r>
        <w:t xml:space="preserve">.</w:t>
      </w:r>
    </w:p>
  </w:footnote>
  <w:footnote w:id="85">
    <w:p>
      <w:pPr>
        <w:pStyle w:val="FootnoteText"/>
      </w:pPr>
      <w:r>
        <w:rPr>
          <w:rStyle w:val="FootnoteReference"/>
        </w:rPr>
        <w:footnoteRef/>
      </w:r>
      <w:r>
        <w:t xml:space="preserve"> </w:t>
      </w:r>
      <w:r>
        <w:t xml:space="preserve">[@grellmann1807]</w:t>
      </w:r>
      <w:r>
        <w:t xml:space="preserve">.</w:t>
      </w:r>
    </w:p>
  </w:footnote>
  <w:footnote w:id="86">
    <w:p>
      <w:pPr>
        <w:pStyle w:val="FootnoteText"/>
      </w:pPr>
      <w:r>
        <w:rPr>
          <w:rStyle w:val="FootnoteReference"/>
        </w:rPr>
        <w:footnoteRef/>
      </w:r>
      <w:r>
        <w:t xml:space="preserve"> </w:t>
      </w:r>
      <w:r>
        <w:t xml:space="preserve">[@willems1997, s. 24]</w:t>
      </w:r>
      <w:r>
        <w:t xml:space="preserve">.</w:t>
      </w:r>
    </w:p>
  </w:footnote>
  <w:footnote w:id="87">
    <w:p>
      <w:pPr>
        <w:pStyle w:val="FootnoteText"/>
      </w:pPr>
      <w:r>
        <w:rPr>
          <w:rStyle w:val="FootnoteReference"/>
        </w:rPr>
        <w:footnoteRef/>
      </w:r>
      <w:r>
        <w:t xml:space="preserve"> </w:t>
      </w:r>
      <w:r>
        <w:t xml:space="preserve">[@willems1997, s. 63–65]</w:t>
      </w:r>
      <w:r>
        <w:t xml:space="preserve">.</w:t>
      </w:r>
    </w:p>
  </w:footnote>
  <w:footnote w:id="88">
    <w:p>
      <w:pPr>
        <w:pStyle w:val="FootnoteText"/>
      </w:pPr>
      <w:r>
        <w:rPr>
          <w:rStyle w:val="FootnoteReference"/>
        </w:rPr>
        <w:footnoteRef/>
      </w:r>
      <w:r>
        <w:t xml:space="preserve"> </w:t>
      </w:r>
      <w:r>
        <w:t xml:space="preserve">[@fraser1992; @shahar2007]</w:t>
      </w:r>
      <w:r>
        <w:t xml:space="preserve">.</w:t>
      </w:r>
    </w:p>
  </w:footnote>
  <w:footnote w:id="89">
    <w:p>
      <w:pPr>
        <w:pStyle w:val="FootnoteText"/>
      </w:pPr>
      <w:r>
        <w:rPr>
          <w:rStyle w:val="FootnoteReference"/>
        </w:rPr>
        <w:footnoteRef/>
      </w:r>
      <w:r>
        <w:t xml:space="preserve"> </w:t>
      </w:r>
      <w:r>
        <w:t xml:space="preserve">[@wynter2003]</w:t>
      </w:r>
      <w:r>
        <w:t xml:space="preserve">.</w:t>
      </w:r>
    </w:p>
  </w:footnote>
  <w:footnote w:id="90">
    <w:p>
      <w:pPr>
        <w:pStyle w:val="FootnoteText"/>
      </w:pPr>
      <w:r>
        <w:rPr>
          <w:rStyle w:val="FootnoteReference"/>
        </w:rPr>
        <w:footnoteRef/>
      </w:r>
      <w:r>
        <w:t xml:space="preserve"> </w:t>
      </w:r>
      <w:r>
        <w:t xml:space="preserve">[@wynter2003, s. 265]</w:t>
      </w:r>
      <w:r>
        <w:t xml:space="preserve">.</w:t>
      </w:r>
    </w:p>
  </w:footnote>
  <w:footnote w:id="91">
    <w:p>
      <w:pPr>
        <w:pStyle w:val="FootnoteText"/>
      </w:pPr>
      <w:r>
        <w:rPr>
          <w:rStyle w:val="FootnoteReference"/>
        </w:rPr>
        <w:footnoteRef/>
      </w:r>
      <w:r>
        <w:t xml:space="preserve"> </w:t>
      </w:r>
      <w:r>
        <w:t xml:space="preserve">[@wynter2003, s. 266]</w:t>
      </w:r>
      <w:r>
        <w:t xml:space="preserve">.</w:t>
      </w:r>
    </w:p>
  </w:footnote>
  <w:footnote w:id="92">
    <w:p>
      <w:pPr>
        <w:pStyle w:val="FootnoteText"/>
      </w:pPr>
      <w:r>
        <w:rPr>
          <w:rStyle w:val="FootnoteReference"/>
        </w:rPr>
        <w:footnoteRef/>
      </w:r>
      <w:r>
        <w:t xml:space="preserve"> </w:t>
      </w:r>
      <w:r>
        <w:t xml:space="preserve">[@shahar2007, s. 7]</w:t>
      </w:r>
      <w:r>
        <w:t xml:space="preserve">.</w:t>
      </w:r>
    </w:p>
  </w:footnote>
  <w:footnote w:id="93">
    <w:p>
      <w:pPr>
        <w:pStyle w:val="FootnoteText"/>
      </w:pPr>
      <w:r>
        <w:rPr>
          <w:rStyle w:val="FootnoteReference"/>
        </w:rPr>
        <w:footnoteRef/>
      </w:r>
      <w:r>
        <w:t xml:space="preserve"> </w:t>
      </w:r>
      <w:r>
        <w:t xml:space="preserve">[Cyt. za @lewy2000, s. 2; zob. też @fernandez2021]</w:t>
      </w:r>
      <w:r>
        <w:t xml:space="preserve">. [Tłum. z przekładu angielskiego – przyp. tłum.]</w:t>
      </w:r>
    </w:p>
  </w:footnote>
  <w:footnote w:id="94">
    <w:p>
      <w:pPr>
        <w:pStyle w:val="FootnoteText"/>
      </w:pPr>
      <w:r>
        <w:rPr>
          <w:rStyle w:val="FootnoteReference"/>
        </w:rPr>
        <w:footnoteRef/>
      </w:r>
      <w:r>
        <w:t xml:space="preserve"> </w:t>
      </w:r>
      <w:r>
        <w:t xml:space="preserve">[@dal1883, s. 140–142]</w:t>
      </w:r>
      <w:r>
        <w:t xml:space="preserve">. [Tłum. z przekładu angielskiego autorki – przyp. tłum.]</w:t>
      </w:r>
    </w:p>
  </w:footnote>
  <w:footnote w:id="95">
    <w:p>
      <w:pPr>
        <w:pStyle w:val="FootnoteText"/>
      </w:pPr>
      <w:r>
        <w:rPr>
          <w:rStyle w:val="FootnoteReference"/>
        </w:rPr>
        <w:footnoteRef/>
      </w:r>
      <w:r>
        <w:t xml:space="preserve"> </w:t>
      </w:r>
      <w:r>
        <w:t xml:space="preserve">[@grellmann1807]</w:t>
      </w:r>
      <w:r>
        <w:t xml:space="preserve">.</w:t>
      </w:r>
    </w:p>
  </w:footnote>
  <w:footnote w:id="96">
    <w:p>
      <w:pPr>
        <w:pStyle w:val="FootnoteText"/>
      </w:pPr>
      <w:r>
        <w:rPr>
          <w:rStyle w:val="FootnoteReference"/>
        </w:rPr>
        <w:footnoteRef/>
      </w:r>
      <w:r>
        <w:t xml:space="preserve"> </w:t>
      </w:r>
      <w:r>
        <w:t xml:space="preserve">[@grellmann1807, s. viii]</w:t>
      </w:r>
      <w:r>
        <w:t xml:space="preserve">.</w:t>
      </w:r>
    </w:p>
  </w:footnote>
  <w:footnote w:id="97">
    <w:p>
      <w:pPr>
        <w:pStyle w:val="FootnoteText"/>
      </w:pPr>
      <w:r>
        <w:rPr>
          <w:rStyle w:val="FootnoteReference"/>
        </w:rPr>
        <w:footnoteRef/>
      </w:r>
      <w:r>
        <w:t xml:space="preserve"> </w:t>
      </w:r>
      <w:r>
        <w:t xml:space="preserve">[@grellmann1807]</w:t>
      </w:r>
      <w:r>
        <w:t xml:space="preserve">.</w:t>
      </w:r>
    </w:p>
  </w:footnote>
  <w:footnote w:id="98">
    <w:p>
      <w:pPr>
        <w:pStyle w:val="FootnoteText"/>
      </w:pPr>
      <w:r>
        <w:rPr>
          <w:rStyle w:val="FootnoteReference"/>
        </w:rPr>
        <w:footnoteRef/>
      </w:r>
      <w:r>
        <w:t xml:space="preserve"> </w:t>
      </w:r>
      <w:r>
        <w:t xml:space="preserve">[@clark2004, s. 231]</w:t>
      </w:r>
      <w:r>
        <w:t xml:space="preserve">.</w:t>
      </w:r>
    </w:p>
  </w:footnote>
  <w:footnote w:id="99">
    <w:p>
      <w:pPr>
        <w:pStyle w:val="FootnoteText"/>
      </w:pPr>
      <w:r>
        <w:rPr>
          <w:rStyle w:val="FootnoteReference"/>
        </w:rPr>
        <w:footnoteRef/>
      </w:r>
      <w:r>
        <w:t xml:space="preserve"> </w:t>
      </w:r>
      <w:r>
        <w:t xml:space="preserve">[@grellmann1807, s. i]</w:t>
      </w:r>
      <w:r>
        <w:t xml:space="preserve">.</w:t>
      </w:r>
    </w:p>
  </w:footnote>
  <w:footnote w:id="100">
    <w:p>
      <w:pPr>
        <w:pStyle w:val="FootnoteText"/>
      </w:pPr>
      <w:r>
        <w:rPr>
          <w:rStyle w:val="FootnoteReference"/>
        </w:rPr>
        <w:footnoteRef/>
      </w:r>
      <w:r>
        <w:t xml:space="preserve"> </w:t>
      </w:r>
      <w:r>
        <w:t xml:space="preserve">[@grellmann1807, s. 6]</w:t>
      </w:r>
      <w:r>
        <w:t xml:space="preserve">.</w:t>
      </w:r>
    </w:p>
  </w:footnote>
  <w:footnote w:id="101">
    <w:p>
      <w:pPr>
        <w:pStyle w:val="FootnoteText"/>
      </w:pPr>
      <w:r>
        <w:rPr>
          <w:rStyle w:val="FootnoteReference"/>
        </w:rPr>
        <w:footnoteRef/>
      </w:r>
      <w:r>
        <w:t xml:space="preserve"> </w:t>
      </w:r>
      <w:r>
        <w:t xml:space="preserve">[@grellmann1807, s. 13]</w:t>
      </w:r>
      <w:r>
        <w:t xml:space="preserve">.</w:t>
      </w:r>
    </w:p>
  </w:footnote>
  <w:footnote w:id="102">
    <w:p>
      <w:pPr>
        <w:pStyle w:val="FootnoteText"/>
      </w:pPr>
      <w:r>
        <w:rPr>
          <w:rStyle w:val="FootnoteReference"/>
        </w:rPr>
        <w:footnoteRef/>
      </w:r>
      <w:r>
        <w:t xml:space="preserve"> </w:t>
      </w:r>
      <w:r>
        <w:t xml:space="preserve">[@grellmann1807, s. 89]</w:t>
      </w:r>
      <w:r>
        <w:t xml:space="preserve">.</w:t>
      </w:r>
    </w:p>
  </w:footnote>
  <w:footnote w:id="103">
    <w:p>
      <w:pPr>
        <w:pStyle w:val="FootnoteText"/>
      </w:pPr>
      <w:r>
        <w:rPr>
          <w:rStyle w:val="FootnoteReference"/>
        </w:rPr>
        <w:footnoteRef/>
      </w:r>
      <w:r>
        <w:t xml:space="preserve"> </w:t>
      </w:r>
      <w:r>
        <w:t xml:space="preserve">[@grellmann1807, s. 72–73]</w:t>
      </w:r>
      <w:r>
        <w:t xml:space="preserve">.</w:t>
      </w:r>
    </w:p>
  </w:footnote>
  <w:footnote w:id="104">
    <w:p>
      <w:pPr>
        <w:pStyle w:val="FootnoteText"/>
      </w:pPr>
      <w:r>
        <w:rPr>
          <w:rStyle w:val="FootnoteReference"/>
        </w:rPr>
        <w:footnoteRef/>
      </w:r>
      <w:r>
        <w:t xml:space="preserve"> </w:t>
      </w:r>
      <w:r>
        <w:t xml:space="preserve">[@grellmann1807, s. 25]</w:t>
      </w:r>
      <w:r>
        <w:t xml:space="preserve">.</w:t>
      </w:r>
    </w:p>
  </w:footnote>
  <w:footnote w:id="105">
    <w:p>
      <w:pPr>
        <w:pStyle w:val="FootnoteText"/>
      </w:pPr>
      <w:r>
        <w:rPr>
          <w:rStyle w:val="FootnoteReference"/>
        </w:rPr>
        <w:footnoteRef/>
      </w:r>
      <w:r>
        <w:t xml:space="preserve"> </w:t>
      </w:r>
      <w:r>
        <w:t xml:space="preserve">[@wippermann1997]</w:t>
      </w:r>
      <w:r>
        <w:t xml:space="preserve">.</w:t>
      </w:r>
    </w:p>
  </w:footnote>
  <w:footnote w:id="106">
    <w:p>
      <w:pPr>
        <w:pStyle w:val="FootnoteText"/>
      </w:pPr>
      <w:r>
        <w:rPr>
          <w:rStyle w:val="FootnoteReference"/>
        </w:rPr>
        <w:footnoteRef/>
      </w:r>
      <w:r>
        <w:t xml:space="preserve"> </w:t>
      </w:r>
      <w:r>
        <w:t xml:space="preserve">Ang.</w:t>
      </w:r>
      <w:r>
        <w:t xml:space="preserve"> </w:t>
      </w:r>
      <w:r>
        <w:rPr>
          <w:i/>
          <w:iCs/>
        </w:rPr>
        <w:t xml:space="preserve">profitable subject</w:t>
      </w:r>
      <w:r>
        <w:t xml:space="preserve">;</w:t>
      </w:r>
      <w:r>
        <w:t xml:space="preserve"> </w:t>
      </w:r>
      <w:r>
        <w:rPr>
          <w:i/>
          <w:iCs/>
        </w:rPr>
        <w:t xml:space="preserve">subject</w:t>
      </w:r>
      <w:r>
        <w:t xml:space="preserve"> </w:t>
      </w:r>
      <w:r>
        <w:t xml:space="preserve">znaczy zarówno ‘podmiot’, jak i ‘poddany’. Pojęcie autorki oddaję jako „podmiot przynoszący zysk”, a określenie Grellmanna</w:t>
      </w:r>
      <w:r>
        <w:t xml:space="preserve"> </w:t>
      </w:r>
      <w:r>
        <w:rPr>
          <w:i/>
          <w:iCs/>
        </w:rPr>
        <w:t xml:space="preserve">profitable subjects</w:t>
      </w:r>
      <w:r>
        <w:t xml:space="preserve"> </w:t>
      </w:r>
      <w:r>
        <w:t xml:space="preserve">– jako „poddani przynoszący zysk”; wywód autorki korzysta z obu znaczeń – przyp. tłum.</w:t>
      </w:r>
    </w:p>
  </w:footnote>
  <w:footnote w:id="107">
    <w:p>
      <w:pPr>
        <w:pStyle w:val="FootnoteText"/>
      </w:pPr>
      <w:r>
        <w:rPr>
          <w:rStyle w:val="FootnoteReference"/>
        </w:rPr>
        <w:footnoteRef/>
      </w:r>
      <w:r>
        <w:t xml:space="preserve"> </w:t>
      </w:r>
      <w:r>
        <w:t xml:space="preserve">[@law2019, s. 119]</w:t>
      </w:r>
      <w:r>
        <w:t xml:space="preserve">.</w:t>
      </w:r>
    </w:p>
  </w:footnote>
  <w:footnote w:id="108">
    <w:p>
      <w:pPr>
        <w:pStyle w:val="FootnoteText"/>
      </w:pPr>
      <w:r>
        <w:rPr>
          <w:rStyle w:val="FootnoteReference"/>
        </w:rPr>
        <w:footnoteRef/>
      </w:r>
      <w:r>
        <w:t xml:space="preserve"> </w:t>
      </w:r>
      <w:r>
        <w:t xml:space="preserve">[@melamed2015]</w:t>
      </w:r>
      <w:r>
        <w:t xml:space="preserve">.</w:t>
      </w:r>
    </w:p>
  </w:footnote>
  <w:footnote w:id="109">
    <w:p>
      <w:pPr>
        <w:pStyle w:val="FootnoteText"/>
      </w:pPr>
      <w:r>
        <w:rPr>
          <w:rStyle w:val="FootnoteReference"/>
        </w:rPr>
        <w:footnoteRef/>
      </w:r>
      <w:r>
        <w:t xml:space="preserve"> </w:t>
      </w:r>
      <w:r>
        <w:t xml:space="preserve">[@vincze2015, s. 28]</w:t>
      </w:r>
      <w:r>
        <w:t xml:space="preserve">.</w:t>
      </w:r>
    </w:p>
  </w:footnote>
  <w:footnote w:id="110">
    <w:p>
      <w:pPr>
        <w:pStyle w:val="FootnoteText"/>
      </w:pPr>
      <w:r>
        <w:rPr>
          <w:rStyle w:val="FootnoteReference"/>
        </w:rPr>
        <w:footnoteRef/>
      </w:r>
      <w:r>
        <w:t xml:space="preserve"> </w:t>
      </w:r>
      <w:r>
        <w:t xml:space="preserve">[@robinson2000]</w:t>
      </w:r>
      <w:r>
        <w:t xml:space="preserve">.</w:t>
      </w:r>
    </w:p>
  </w:footnote>
  <w:footnote w:id="111">
    <w:p>
      <w:pPr>
        <w:pStyle w:val="FootnoteText"/>
      </w:pPr>
      <w:r>
        <w:rPr>
          <w:rStyle w:val="FootnoteReference"/>
        </w:rPr>
        <w:footnoteRef/>
      </w:r>
      <w:r>
        <w:t xml:space="preserve"> </w:t>
      </w:r>
      <w:r>
        <w:t xml:space="preserve">[@robinson2000, s. 27]</w:t>
      </w:r>
      <w:r>
        <w:t xml:space="preserve">.</w:t>
      </w:r>
    </w:p>
  </w:footnote>
  <w:footnote w:id="112">
    <w:p>
      <w:pPr>
        <w:pStyle w:val="FootnoteText"/>
      </w:pPr>
      <w:r>
        <w:rPr>
          <w:rStyle w:val="FootnoteReference"/>
        </w:rPr>
        <w:footnoteRef/>
      </w:r>
      <w:r>
        <w:t xml:space="preserve"> </w:t>
      </w:r>
      <w:r>
        <w:t xml:space="preserve">[@robinson2000, s. 67]</w:t>
      </w:r>
      <w:r>
        <w:t xml:space="preserve">.</w:t>
      </w:r>
    </w:p>
  </w:footnote>
  <w:footnote w:id="113">
    <w:p>
      <w:pPr>
        <w:pStyle w:val="FootnoteText"/>
      </w:pPr>
      <w:r>
        <w:rPr>
          <w:rStyle w:val="FootnoteReference"/>
        </w:rPr>
        <w:footnoteRef/>
      </w:r>
      <w:r>
        <w:t xml:space="preserve"> </w:t>
      </w:r>
      <w:r>
        <w:t xml:space="preserve">[@robinson2000, s. 42]</w:t>
      </w:r>
      <w:r>
        <w:t xml:space="preserve">.</w:t>
      </w:r>
    </w:p>
  </w:footnote>
  <w:footnote w:id="114">
    <w:p>
      <w:pPr>
        <w:pStyle w:val="FootnoteText"/>
      </w:pPr>
      <w:r>
        <w:rPr>
          <w:rStyle w:val="FootnoteReference"/>
        </w:rPr>
        <w:footnoteRef/>
      </w:r>
      <w:r>
        <w:t xml:space="preserve"> </w:t>
      </w:r>
      <w:r>
        <w:t xml:space="preserve">[Zob. @melamed2015]</w:t>
      </w:r>
      <w:r>
        <w:t xml:space="preserve">.</w:t>
      </w:r>
    </w:p>
  </w:footnote>
  <w:footnote w:id="115">
    <w:p>
      <w:pPr>
        <w:pStyle w:val="FootnoteText"/>
      </w:pPr>
      <w:r>
        <w:rPr>
          <w:rStyle w:val="FootnoteReference"/>
        </w:rPr>
        <w:footnoteRef/>
      </w:r>
      <w:r>
        <w:t xml:space="preserve"> </w:t>
      </w:r>
      <w:r>
        <w:t xml:space="preserve">[@grellmann1807]</w:t>
      </w:r>
      <w:r>
        <w:t xml:space="preserve">.</w:t>
      </w:r>
    </w:p>
  </w:footnote>
  <w:footnote w:id="116">
    <w:p>
      <w:pPr>
        <w:pStyle w:val="FootnoteText"/>
      </w:pPr>
      <w:r>
        <w:rPr>
          <w:rStyle w:val="FootnoteReference"/>
        </w:rPr>
        <w:footnoteRef/>
      </w:r>
      <w:r>
        <w:t xml:space="preserve"> </w:t>
      </w:r>
      <w:r>
        <w:t xml:space="preserve">[@willems1997; @lucassen1998]</w:t>
      </w:r>
      <w:r>
        <w:t xml:space="preserve">.</w:t>
      </w:r>
    </w:p>
  </w:footnote>
  <w:footnote w:id="117">
    <w:p>
      <w:pPr>
        <w:pStyle w:val="FootnoteText"/>
      </w:pPr>
      <w:r>
        <w:rPr>
          <w:rStyle w:val="FootnoteReference"/>
        </w:rPr>
        <w:footnoteRef/>
      </w:r>
      <w:r>
        <w:t xml:space="preserve"> </w:t>
      </w:r>
      <w:r>
        <w:t xml:space="preserve">[@federici2004]</w:t>
      </w:r>
      <w:r>
        <w:t xml:space="preserve">.</w:t>
      </w:r>
    </w:p>
  </w:footnote>
  <w:footnote w:id="118">
    <w:p>
      <w:pPr>
        <w:pStyle w:val="FootnoteText"/>
      </w:pPr>
      <w:r>
        <w:rPr>
          <w:rStyle w:val="FootnoteReference"/>
        </w:rPr>
        <w:footnoteRef/>
      </w:r>
      <w:r>
        <w:t xml:space="preserve"> </w:t>
      </w:r>
      <w:r>
        <w:t xml:space="preserve">[@federici2004, s. 46]</w:t>
      </w:r>
      <w:r>
        <w:t xml:space="preserve">.</w:t>
      </w:r>
    </w:p>
  </w:footnote>
  <w:footnote w:id="119">
    <w:p>
      <w:pPr>
        <w:pStyle w:val="FootnoteText"/>
      </w:pPr>
      <w:r>
        <w:rPr>
          <w:rStyle w:val="FootnoteReference"/>
        </w:rPr>
        <w:footnoteRef/>
      </w:r>
      <w:r>
        <w:t xml:space="preserve"> </w:t>
      </w:r>
      <w:r>
        <w:t xml:space="preserve">[@federici2004, s. 45]</w:t>
      </w:r>
      <w:r>
        <w:t xml:space="preserve">.</w:t>
      </w:r>
    </w:p>
  </w:footnote>
  <w:footnote w:id="120">
    <w:p>
      <w:pPr>
        <w:pStyle w:val="FootnoteText"/>
      </w:pPr>
      <w:r>
        <w:rPr>
          <w:rStyle w:val="FootnoteReference"/>
        </w:rPr>
        <w:footnoteRef/>
      </w:r>
      <w:r>
        <w:t xml:space="preserve"> </w:t>
      </w:r>
      <w:r>
        <w:t xml:space="preserve">[@federici2004, s. 49]</w:t>
      </w:r>
      <w:r>
        <w:t xml:space="preserve">.</w:t>
      </w:r>
    </w:p>
  </w:footnote>
  <w:footnote w:id="121">
    <w:p>
      <w:pPr>
        <w:pStyle w:val="FootnoteText"/>
      </w:pPr>
      <w:r>
        <w:rPr>
          <w:rStyle w:val="FootnoteReference"/>
        </w:rPr>
        <w:footnoteRef/>
      </w:r>
      <w:r>
        <w:t xml:space="preserve"> </w:t>
      </w:r>
      <w:r>
        <w:t xml:space="preserve">[@federici2004, s. 64]</w:t>
      </w:r>
      <w:r>
        <w:t xml:space="preserve">.</w:t>
      </w:r>
    </w:p>
  </w:footnote>
  <w:footnote w:id="122">
    <w:p>
      <w:pPr>
        <w:pStyle w:val="FootnoteText"/>
      </w:pPr>
      <w:r>
        <w:rPr>
          <w:rStyle w:val="FootnoteReference"/>
        </w:rPr>
        <w:footnoteRef/>
      </w:r>
      <w:r>
        <w:t xml:space="preserve"> </w:t>
      </w:r>
      <w:r>
        <w:t xml:space="preserve">[@federici2004]</w:t>
      </w:r>
      <w:r>
        <w:t xml:space="preserve">.</w:t>
      </w:r>
    </w:p>
  </w:footnote>
  <w:footnote w:id="123">
    <w:p>
      <w:pPr>
        <w:pStyle w:val="FootnoteText"/>
      </w:pPr>
      <w:r>
        <w:rPr>
          <w:rStyle w:val="FootnoteReference"/>
        </w:rPr>
        <w:footnoteRef/>
      </w:r>
      <w:r>
        <w:t xml:space="preserve"> </w:t>
      </w:r>
      <w:r>
        <w:t xml:space="preserve">[@federici2004, s. 69–70; zob. też @acton1974]</w:t>
      </w:r>
      <w:r>
        <w:t xml:space="preserve">.</w:t>
      </w:r>
    </w:p>
  </w:footnote>
  <w:footnote w:id="124">
    <w:p>
      <w:pPr>
        <w:pStyle w:val="FootnoteText"/>
      </w:pPr>
      <w:r>
        <w:rPr>
          <w:rStyle w:val="FootnoteReference"/>
        </w:rPr>
        <w:footnoteRef/>
      </w:r>
      <w:r>
        <w:t xml:space="preserve"> </w:t>
      </w:r>
      <w:r>
        <w:t xml:space="preserve">[@lucassen2008, s. 430]</w:t>
      </w:r>
      <w:r>
        <w:t xml:space="preserve">.</w:t>
      </w:r>
    </w:p>
  </w:footnote>
  <w:footnote w:id="125">
    <w:p>
      <w:pPr>
        <w:pStyle w:val="FootnoteText"/>
      </w:pPr>
      <w:r>
        <w:rPr>
          <w:rStyle w:val="FootnoteReference"/>
        </w:rPr>
        <w:footnoteRef/>
      </w:r>
      <w:r>
        <w:t xml:space="preserve"> </w:t>
      </w:r>
      <w:r>
        <w:t xml:space="preserve">[@willems1997, s. 8]</w:t>
      </w:r>
      <w:r>
        <w:t xml:space="preserve">.</w:t>
      </w:r>
    </w:p>
  </w:footnote>
  <w:footnote w:id="126">
    <w:p>
      <w:pPr>
        <w:pStyle w:val="FootnoteText"/>
      </w:pPr>
      <w:r>
        <w:rPr>
          <w:rStyle w:val="FootnoteReference"/>
        </w:rPr>
        <w:footnoteRef/>
      </w:r>
      <w:r>
        <w:t xml:space="preserve"> </w:t>
      </w:r>
      <w:r>
        <w:t xml:space="preserve">[@melamed2015, s. 81]</w:t>
      </w:r>
      <w:r>
        <w:t xml:space="preserve">.</w:t>
      </w:r>
    </w:p>
  </w:footnote>
  <w:footnote w:id="127">
    <w:p>
      <w:pPr>
        <w:pStyle w:val="FootnoteText"/>
      </w:pPr>
      <w:r>
        <w:rPr>
          <w:rStyle w:val="FootnoteReference"/>
        </w:rPr>
        <w:footnoteRef/>
      </w:r>
      <w:r>
        <w:t xml:space="preserve"> </w:t>
      </w:r>
      <w:r>
        <w:t xml:space="preserve">[@robinson2000; @federici2004]</w:t>
      </w:r>
      <w:r>
        <w:t xml:space="preserve">.</w:t>
      </w:r>
    </w:p>
  </w:footnote>
  <w:footnote w:id="128">
    <w:p>
      <w:pPr>
        <w:pStyle w:val="FootnoteText"/>
      </w:pPr>
      <w:r>
        <w:rPr>
          <w:rStyle w:val="FootnoteReference"/>
        </w:rPr>
        <w:footnoteRef/>
      </w:r>
      <w:r>
        <w:t xml:space="preserve"> </w:t>
      </w:r>
      <w:r>
        <w:t xml:space="preserve">[@lucassen2008]</w:t>
      </w:r>
      <w:r>
        <w:t xml:space="preserve">.</w:t>
      </w:r>
    </w:p>
  </w:footnote>
  <w:footnote w:id="129">
    <w:p>
      <w:pPr>
        <w:pStyle w:val="FootnoteText"/>
      </w:pPr>
      <w:r>
        <w:rPr>
          <w:rStyle w:val="FootnoteReference"/>
        </w:rPr>
        <w:footnoteRef/>
      </w:r>
      <w:r>
        <w:t xml:space="preserve"> </w:t>
      </w:r>
      <w:r>
        <w:t xml:space="preserve">Nazwa „Cyganie” pojawia się w przekładzie tylko tam, gdzie autorka przytacza źródła lub literaturę posługujące się tą kategorią; swoje nazewnictwo autorka objaśnia w przypisach 2 i 67 – przyp. tłum.</w:t>
      </w:r>
    </w:p>
  </w:footnote>
  <w:footnote w:id="130">
    <w:p>
      <w:pPr>
        <w:pStyle w:val="FootnoteText"/>
      </w:pPr>
      <w:r>
        <w:rPr>
          <w:rStyle w:val="FootnoteReference"/>
        </w:rPr>
        <w:footnoteRef/>
      </w:r>
      <w:r>
        <w:t xml:space="preserve"> </w:t>
      </w:r>
      <w:r>
        <w:t xml:space="preserve">[@willems1997, s. 8–9]</w:t>
      </w:r>
      <w:r>
        <w:t xml:space="preserve">.</w:t>
      </w:r>
    </w:p>
  </w:footnote>
  <w:footnote w:id="131">
    <w:p>
      <w:pPr>
        <w:pStyle w:val="FootnoteText"/>
      </w:pPr>
      <w:r>
        <w:rPr>
          <w:rStyle w:val="FootnoteReference"/>
        </w:rPr>
        <w:footnoteRef/>
      </w:r>
      <w:r>
        <w:t xml:space="preserve"> </w:t>
      </w:r>
      <w:r>
        <w:t xml:space="preserve">[@willems1997, s. 14–15]</w:t>
      </w:r>
      <w:r>
        <w:t xml:space="preserve">.</w:t>
      </w:r>
    </w:p>
  </w:footnote>
  <w:footnote w:id="132">
    <w:p>
      <w:pPr>
        <w:pStyle w:val="FootnoteText"/>
      </w:pPr>
      <w:r>
        <w:rPr>
          <w:rStyle w:val="FootnoteReference"/>
        </w:rPr>
        <w:footnoteRef/>
      </w:r>
      <w:r>
        <w:t xml:space="preserve"> </w:t>
      </w:r>
      <w:r>
        <w:t xml:space="preserve">[@willems1997; @lucassen1998]</w:t>
      </w:r>
      <w:r>
        <w:t xml:space="preserve">.</w:t>
      </w:r>
    </w:p>
  </w:footnote>
  <w:footnote w:id="133">
    <w:p>
      <w:pPr>
        <w:pStyle w:val="FootnoteText"/>
      </w:pPr>
      <w:r>
        <w:rPr>
          <w:rStyle w:val="FootnoteReference"/>
        </w:rPr>
        <w:footnoteRef/>
      </w:r>
      <w:r>
        <w:t xml:space="preserve"> </w:t>
      </w:r>
      <w:r>
        <w:t xml:space="preserve">[@zinevych2001; @mroz2015]</w:t>
      </w:r>
      <w:r>
        <w:t xml:space="preserve">.</w:t>
      </w:r>
    </w:p>
  </w:footnote>
  <w:footnote w:id="134">
    <w:p>
      <w:pPr>
        <w:pStyle w:val="FootnoteText"/>
      </w:pPr>
      <w:r>
        <w:rPr>
          <w:rStyle w:val="FootnoteReference"/>
        </w:rPr>
        <w:footnoteRef/>
      </w:r>
      <w:r>
        <w:t xml:space="preserve"> </w:t>
      </w:r>
      <w:r>
        <w:t xml:space="preserve">[@mroz2015, s. 128]</w:t>
      </w:r>
      <w:r>
        <w:t xml:space="preserve">.</w:t>
      </w:r>
    </w:p>
  </w:footnote>
  <w:footnote w:id="135">
    <w:p>
      <w:pPr>
        <w:pStyle w:val="FootnoteText"/>
      </w:pPr>
      <w:r>
        <w:rPr>
          <w:rStyle w:val="FootnoteReference"/>
        </w:rPr>
        <w:footnoteRef/>
      </w:r>
      <w:r>
        <w:t xml:space="preserve"> </w:t>
      </w:r>
      <w:r>
        <w:t xml:space="preserve">[Cyt. za @mroz2015, s. 129]</w:t>
      </w:r>
      <w:r>
        <w:t xml:space="preserve">.</w:t>
      </w:r>
    </w:p>
  </w:footnote>
  <w:footnote w:id="136">
    <w:p>
      <w:pPr>
        <w:pStyle w:val="FootnoteText"/>
      </w:pPr>
      <w:r>
        <w:rPr>
          <w:rStyle w:val="FootnoteReference"/>
        </w:rPr>
        <w:footnoteRef/>
      </w:r>
      <w:r>
        <w:t xml:space="preserve"> </w:t>
      </w:r>
      <w:r>
        <w:t xml:space="preserve">[@mroz2015, s. 131]</w:t>
      </w:r>
      <w:r>
        <w:t xml:space="preserve">.</w:t>
      </w:r>
    </w:p>
  </w:footnote>
  <w:footnote w:id="137">
    <w:p>
      <w:pPr>
        <w:pStyle w:val="FootnoteText"/>
      </w:pPr>
      <w:r>
        <w:rPr>
          <w:rStyle w:val="FootnoteReference"/>
        </w:rPr>
        <w:footnoteRef/>
      </w:r>
      <w:r>
        <w:t xml:space="preserve"> </w:t>
      </w:r>
      <w:r>
        <w:t xml:space="preserve">[Cyt. za @mroz2015, s. 131–132]</w:t>
      </w:r>
      <w:r>
        <w:t xml:space="preserve">.</w:t>
      </w:r>
    </w:p>
  </w:footnote>
  <w:footnote w:id="138">
    <w:p>
      <w:pPr>
        <w:pStyle w:val="FootnoteText"/>
      </w:pPr>
      <w:r>
        <w:rPr>
          <w:rStyle w:val="FootnoteReference"/>
        </w:rPr>
        <w:footnoteRef/>
      </w:r>
      <w:r>
        <w:t xml:space="preserve"> </w:t>
      </w:r>
      <w:r>
        <w:t xml:space="preserve">Niemcy były kolebką brutalnych praw antyromskich.</w:t>
      </w:r>
    </w:p>
  </w:footnote>
  <w:footnote w:id="139">
    <w:p>
      <w:pPr>
        <w:pStyle w:val="FootnoteText"/>
      </w:pPr>
      <w:r>
        <w:rPr>
          <w:rStyle w:val="FootnoteReference"/>
        </w:rPr>
        <w:footnoteRef/>
      </w:r>
      <w:r>
        <w:t xml:space="preserve"> </w:t>
      </w:r>
      <w:r>
        <w:t xml:space="preserve">[@mroz2015, s. 233–234]</w:t>
      </w:r>
      <w:r>
        <w:t xml:space="preserve">.</w:t>
      </w:r>
    </w:p>
  </w:footnote>
  <w:footnote w:id="140">
    <w:p>
      <w:pPr>
        <w:pStyle w:val="FootnoteText"/>
      </w:pPr>
      <w:r>
        <w:rPr>
          <w:rStyle w:val="FootnoteReference"/>
        </w:rPr>
        <w:footnoteRef/>
      </w:r>
      <w:r>
        <w:t xml:space="preserve"> </w:t>
      </w:r>
      <w:r>
        <w:t xml:space="preserve">[@willems1997, s. 22–23]</w:t>
      </w:r>
      <w:r>
        <w:t xml:space="preserve">.</w:t>
      </w:r>
    </w:p>
  </w:footnote>
  <w:footnote w:id="141">
    <w:p>
      <w:pPr>
        <w:pStyle w:val="FootnoteText"/>
      </w:pPr>
      <w:r>
        <w:rPr>
          <w:rStyle w:val="FootnoteReference"/>
        </w:rPr>
        <w:footnoteRef/>
      </w:r>
      <w:r>
        <w:t xml:space="preserve"> </w:t>
      </w:r>
      <w:r>
        <w:t xml:space="preserve">[@willems1997, s. 8]</w:t>
      </w:r>
      <w:r>
        <w:t xml:space="preserve">.</w:t>
      </w:r>
    </w:p>
  </w:footnote>
  <w:footnote w:id="142">
    <w:p>
      <w:pPr>
        <w:pStyle w:val="FootnoteText"/>
      </w:pPr>
      <w:r>
        <w:rPr>
          <w:rStyle w:val="FootnoteReference"/>
        </w:rPr>
        <w:footnoteRef/>
      </w:r>
      <w:r>
        <w:t xml:space="preserve"> </w:t>
      </w:r>
      <w:r>
        <w:t xml:space="preserve">[@grellmann1807, s. 108]</w:t>
      </w:r>
      <w:r>
        <w:t xml:space="preserve">.</w:t>
      </w:r>
    </w:p>
  </w:footnote>
  <w:footnote w:id="143">
    <w:p>
      <w:pPr>
        <w:pStyle w:val="FootnoteText"/>
      </w:pPr>
      <w:r>
        <w:rPr>
          <w:rStyle w:val="FootnoteReference"/>
        </w:rPr>
        <w:footnoteRef/>
      </w:r>
      <w:r>
        <w:t xml:space="preserve"> </w:t>
      </w:r>
      <w:r>
        <w:t xml:space="preserve">[@grellmann1807, s. 26, 85]</w:t>
      </w:r>
      <w:r>
        <w:t xml:space="preserve">.</w:t>
      </w:r>
    </w:p>
  </w:footnote>
  <w:footnote w:id="144">
    <w:p>
      <w:pPr>
        <w:pStyle w:val="FootnoteText"/>
      </w:pPr>
      <w:r>
        <w:rPr>
          <w:rStyle w:val="FootnoteReference"/>
        </w:rPr>
        <w:footnoteRef/>
      </w:r>
      <w:r>
        <w:t xml:space="preserve"> </w:t>
      </w:r>
      <w:r>
        <w:t xml:space="preserve">[@grellmann1807, s. 87]</w:t>
      </w:r>
      <w:r>
        <w:t xml:space="preserve">.</w:t>
      </w:r>
    </w:p>
  </w:footnote>
  <w:footnote w:id="145">
    <w:p>
      <w:pPr>
        <w:pStyle w:val="FootnoteText"/>
      </w:pPr>
      <w:r>
        <w:rPr>
          <w:rStyle w:val="FootnoteReference"/>
        </w:rPr>
        <w:footnoteRef/>
      </w:r>
      <w:r>
        <w:t xml:space="preserve"> </w:t>
      </w:r>
      <w:r>
        <w:t xml:space="preserve">[@grellmann1807, s. 69–70]</w:t>
      </w:r>
      <w:r>
        <w:t xml:space="preserve">.</w:t>
      </w:r>
    </w:p>
  </w:footnote>
  <w:footnote w:id="146">
    <w:p>
      <w:pPr>
        <w:pStyle w:val="FootnoteText"/>
      </w:pPr>
      <w:r>
        <w:rPr>
          <w:rStyle w:val="FootnoteReference"/>
        </w:rPr>
        <w:footnoteRef/>
      </w:r>
      <w:r>
        <w:t xml:space="preserve"> </w:t>
      </w:r>
      <w:r>
        <w:t xml:space="preserve">[@smirnovaseslavinskaya2021, s. 91]</w:t>
      </w:r>
      <w:r>
        <w:t xml:space="preserve">.</w:t>
      </w:r>
    </w:p>
  </w:footnote>
  <w:footnote w:id="147">
    <w:p>
      <w:pPr>
        <w:pStyle w:val="FootnoteText"/>
      </w:pPr>
      <w:r>
        <w:rPr>
          <w:rStyle w:val="FootnoteReference"/>
        </w:rPr>
        <w:footnoteRef/>
      </w:r>
      <w:r>
        <w:t xml:space="preserve"> </w:t>
      </w:r>
      <w:r>
        <w:t xml:space="preserve">[@okeeffe2014]</w:t>
      </w:r>
      <w:r>
        <w:t xml:space="preserve">.</w:t>
      </w:r>
    </w:p>
  </w:footnote>
  <w:footnote w:id="148">
    <w:p>
      <w:pPr>
        <w:pStyle w:val="FootnoteText"/>
      </w:pPr>
      <w:r>
        <w:rPr>
          <w:rStyle w:val="FootnoteReference"/>
        </w:rPr>
        <w:footnoteRef/>
      </w:r>
      <w:r>
        <w:t xml:space="preserve"> </w:t>
      </w:r>
      <w:r>
        <w:t xml:space="preserve">[@okeeffe2014, s. 125]</w:t>
      </w:r>
      <w:r>
        <w:t xml:space="preserve">.</w:t>
      </w:r>
    </w:p>
  </w:footnote>
  <w:footnote w:id="149">
    <w:p>
      <w:pPr>
        <w:pStyle w:val="FootnoteText"/>
      </w:pPr>
      <w:r>
        <w:rPr>
          <w:rStyle w:val="FootnoteReference"/>
        </w:rPr>
        <w:footnoteRef/>
      </w:r>
      <w:r>
        <w:t xml:space="preserve"> </w:t>
      </w:r>
      <w:r>
        <w:t xml:space="preserve">[@holler2015, s. 84]</w:t>
      </w:r>
      <w:r>
        <w:t xml:space="preserve">.</w:t>
      </w:r>
    </w:p>
  </w:footnote>
  <w:footnote w:id="150">
    <w:p>
      <w:pPr>
        <w:pStyle w:val="FootnoteText"/>
      </w:pPr>
      <w:r>
        <w:rPr>
          <w:rStyle w:val="FootnoteReference"/>
        </w:rPr>
        <w:footnoteRef/>
      </w:r>
      <w:r>
        <w:t xml:space="preserve"> </w:t>
      </w:r>
      <w:r>
        <w:t xml:space="preserve">[@barannikov1931]</w:t>
      </w:r>
      <w:r>
        <w:t xml:space="preserve">.</w:t>
      </w:r>
    </w:p>
  </w:footnote>
  <w:footnote w:id="151">
    <w:p>
      <w:pPr>
        <w:pStyle w:val="FootnoteText"/>
      </w:pPr>
      <w:r>
        <w:rPr>
          <w:rStyle w:val="FootnoteReference"/>
        </w:rPr>
        <w:footnoteRef/>
      </w:r>
      <w:r>
        <w:t xml:space="preserve"> </w:t>
      </w:r>
      <w:r>
        <w:t xml:space="preserve">[@barannikov1931, s. 74]</w:t>
      </w:r>
      <w:r>
        <w:t xml:space="preserve">.</w:t>
      </w:r>
    </w:p>
  </w:footnote>
  <w:footnote w:id="152">
    <w:p>
      <w:pPr>
        <w:pStyle w:val="FootnoteText"/>
      </w:pPr>
      <w:r>
        <w:rPr>
          <w:rStyle w:val="FootnoteReference"/>
        </w:rPr>
        <w:footnoteRef/>
      </w:r>
      <w:r>
        <w:t xml:space="preserve"> </w:t>
      </w:r>
      <w:r>
        <w:t xml:space="preserve">[@okeeffe2014, s. 126]</w:t>
      </w:r>
      <w:r>
        <w:t xml:space="preserve">.</w:t>
      </w:r>
    </w:p>
  </w:footnote>
  <w:footnote w:id="153">
    <w:p>
      <w:pPr>
        <w:pStyle w:val="FootnoteText"/>
      </w:pPr>
      <w:r>
        <w:rPr>
          <w:rStyle w:val="FootnoteReference"/>
        </w:rPr>
        <w:footnoteRef/>
      </w:r>
      <w:r>
        <w:t xml:space="preserve"> </w:t>
      </w:r>
      <w:r>
        <w:t xml:space="preserve">[@zinevych2001; @bielikov2008]</w:t>
      </w:r>
      <w:r>
        <w:t xml:space="preserve">.</w:t>
      </w:r>
    </w:p>
  </w:footnote>
  <w:footnote w:id="154">
    <w:p>
      <w:pPr>
        <w:pStyle w:val="FootnoteText"/>
      </w:pPr>
      <w:r>
        <w:rPr>
          <w:rStyle w:val="FootnoteReference"/>
        </w:rPr>
        <w:footnoteRef/>
      </w:r>
      <w:r>
        <w:t xml:space="preserve"> </w:t>
      </w:r>
      <w:r>
        <w:t xml:space="preserve">[Zob. też @thomas2018]</w:t>
      </w:r>
      <w:r>
        <w:t xml:space="preserve"> </w:t>
      </w:r>
      <w:r>
        <w:t xml:space="preserve">– o sowieckiej polityce osiedlania koczowników w Azji Środkowej.</w:t>
      </w:r>
    </w:p>
  </w:footnote>
  <w:footnote w:id="155">
    <w:p>
      <w:pPr>
        <w:pStyle w:val="FootnoteText"/>
      </w:pPr>
      <w:r>
        <w:rPr>
          <w:rStyle w:val="FootnoteReference"/>
        </w:rPr>
        <w:footnoteRef/>
      </w:r>
      <w:r>
        <w:t xml:space="preserve"> </w:t>
      </w:r>
      <w:r>
        <w:t xml:space="preserve">[@marsh2008]</w:t>
      </w:r>
      <w:r>
        <w:t xml:space="preserve">.</w:t>
      </w:r>
    </w:p>
  </w:footnote>
  <w:footnote w:id="156">
    <w:p>
      <w:pPr>
        <w:pStyle w:val="FootnoteText"/>
      </w:pPr>
      <w:r>
        <w:rPr>
          <w:rStyle w:val="FootnoteReference"/>
        </w:rPr>
        <w:footnoteRef/>
      </w:r>
      <w:r>
        <w:t xml:space="preserve"> </w:t>
      </w:r>
      <w:r>
        <w:t xml:space="preserve">[@cesaire2000]</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2026-10-01T15:19:36Z</dcterms:created>
  <dcterms:modified xsi:type="dcterms:W3CDTF">2026-10-01T15:19:36Z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pahulich_pl.md</vt:lpwstr>
  </property>
  <property fmtid="{D5CDD505-2E9C-101B-9397-08002B2CF9AE}" pid="4" name="tlumaczenie">
    <vt:lpwstr>Michał Bartosz</vt:lpwstr>
  </property>
</Properties>
</file>