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ROMprzypis-tytulowy"/>
      </w:pPr>
      <w:r>
        <w:t xml:space="preserve">Pierwodruk: A. Ostendorf,</w:t>
      </w:r>
      <w:r>
        <w:t xml:space="preserve"> </w:t>
      </w:r>
      <w:r>
        <w:rPr>
          <w:i/>
          <w:iCs/>
        </w:rPr>
        <w:t xml:space="preserve">Familiar Outsiders Abroad: Relational Racialization in the Romani Atlantic World</w:t>
      </w:r>
      <w:r>
        <w:t xml:space="preserve">, w:</w:t>
      </w:r>
      <w:r>
        <w:t xml:space="preserve"> </w:t>
      </w:r>
      <w:r>
        <w:rPr>
          <w:i/>
          <w:iCs/>
        </w:rPr>
        <w:t xml:space="preserve">The Romani Atlantic</w:t>
      </w:r>
      <w:r>
        <w:t xml:space="preserve">, red. M. Fotta, A. Ostendorf, Cambridge University Press, Cambridge 2026, s. 86–108, DOI: 10.1017/9781009706032.005. © Cambridge University Press &amp; Assessment 2026. Tekst opublikowany w otwartym dostępie na licencji CC BY-NC 4.0 (https://creativecommons.org/licenses/by-nc/4.0/); niniejszy przekład stanowi zmianę utworu w rozumieniu licencji. Tłumaczenie: Michał Bartosz. Cytaty ze źródeł obcojęzycznych, o ile nie wskazano inaczej, w przekładzie tłumacza artykułu; cytaty ze źródeł francuskich, hiszpańskich i niemieckich, których oryginał był dostępny, przełożono z oryginału.</w:t>
      </w:r>
    </w:p>
    <w:p>
      <w:pPr>
        <w:pStyle w:val="Heading1"/>
      </w:pPr>
      <w:r>
        <w:t xml:space="preserve">1. WSTĘP</w:t>
      </w:r>
    </w:p>
    <w:p>
      <w:pPr>
        <w:pStyle w:val="FirstParagraph"/>
      </w:pPr>
      <w:r>
        <w:t xml:space="preserve">Romowie w istotny i fundamentalny sposób kształtowali transatlantyckie projekty etniczno-rasowe między XV a XIX wiekiem, a zarazem sami byli przez nie kształtowani. Postrzegano ich – i oni sami się postrzegali – w relacji do ewoluującej sieci przekonań, która wiązała ze sobą ludzi z czterech kontynentów i dawała początek nowym pojęciom i kategoriom, przeobrażającym życie wszystkich mieszkańców świata atlantyckiego. Fizyczna i ideologiczna obecność Romów jako swojskich obcych (</w:t>
      </w:r>
      <w:r>
        <w:rPr>
          <w:i/>
          <w:iCs/>
        </w:rPr>
        <w:t xml:space="preserve">familiar outsiders</w:t>
      </w:r>
      <w:r>
        <w:t xml:space="preserve">) czyniła z nich punkt odniesienia i wzorzec dla nieromskich Europejczyków, którzy pragnęli zrozumieć i kontrolować mniej znanych obcych, rasowo wytwarzanych i porządkowanych w toku kolonialnych spotkań i kolonialnej administracji. Zarazem Romowie dokonywali wyborów kształtowanych przez matrycę rasową, w której obrębie lawirowali. Wymiana idei i osobiste interakcje formowały wyobrażenia o transatlantyckiej odmienności, a Romowie odgrywali w tych procesach kluczową rolę.</w:t>
      </w:r>
    </w:p>
    <w:p>
      <w:pPr>
        <w:pStyle w:val="BodyText"/>
      </w:pPr>
      <w:r>
        <w:t xml:space="preserve">Niniejszy rozdział odsłania ideologiczną pracę, dzięki której nieromscy Europejczycy mogli żywić określone wyobrażenia o Romach, a jednocześnie rozważa, w jaki sposób sami Romowie uczestniczyli w budowie imperialnych reżimów rasowych. Stanowi on przyczynek do powstającej literatury z zakresu krytycznych studiów romskich, która teoretyzuje, jak antycyganizm stał się jednym z wymiarów stabilizujących białość, a także kluczowym składnikiem globalnych praktyk urasawiania w ogóle</w:t>
      </w:r>
      <w:r>
        <w:rPr>
          <w:rStyle w:val="FootnoteReference"/>
        </w:rPr>
        <w:footnoteReference w:id="9"/>
      </w:r>
      <w:r>
        <w:t xml:space="preserve">. Poszerzając ramę tak, by objęła europejskie kolonie i kolonizowanych poddanych, rozdział komplikuje obraz kreślony w najnowszych badaniach, które opisują, jak Europejczycy za pomocą analogicznych porównań wynaleźli „Cyganów”</w:t>
      </w:r>
      <w:r>
        <w:rPr>
          <w:rStyle w:val="FootnoteReference"/>
        </w:rPr>
        <w:footnoteReference w:id="10"/>
      </w:r>
      <w:r>
        <w:t xml:space="preserve">, wynajdując zarazem europejską nowoczesność</w:t>
      </w:r>
      <w:r>
        <w:rPr>
          <w:rStyle w:val="FootnoteReference"/>
        </w:rPr>
        <w:footnoteReference w:id="11"/>
      </w:r>
      <w:r>
        <w:t xml:space="preserve">. Przemiana Romów w obcych miejscowych (</w:t>
      </w:r>
      <w:r>
        <w:rPr>
          <w:i/>
          <w:iCs/>
        </w:rPr>
        <w:t xml:space="preserve">foreign locals</w:t>
      </w:r>
      <w:r>
        <w:t xml:space="preserve">) w Europie nie przebiegłaby jednak tak, jak przebiegła, gdyby nie niemal równoczesne spotkania Europejczyków z rdzennymi mieszkańcami obu Ameryk i towarzyszące im wynalezienie „Indian” w myśli europejskiej. Rozdział wyjaśnia to, sięgając po zaproponowane przez Noémie Ndiaye pojęcie „skryptów rasowych” (</w:t>
      </w:r>
      <w:r>
        <w:rPr>
          <w:i/>
          <w:iCs/>
        </w:rPr>
        <w:t xml:space="preserve">racial scripts</w:t>
      </w:r>
      <w:r>
        <w:t xml:space="preserve">) jako transimperialnych „metaforycznych wątków”, które „nie były jedynie ornamentem”, lecz „zasobami” wytwarzającymi kategorie rasowe i organizującymi rasowe stosunki władzy. Dzięki wytwarzaniu wyobrażeń o jednej grupie obok innych grup i obok siebie samego – czyli dzięki relacyjnemu skryptowaniu rasy – wielowymiarowa matryca wyobrażeń i stosunków władzy obejmowała wszystkich. A ponieważ matryca to w innym sensie także substancja, w której zachodzi reprodukcja, zabarwione romskością skrypty rasowe mnożyły się, rozprzestrzeniały i utrwalały. To wyjaśnia stałość tej formy w czasie, w przestrzeni i w różnych okolicznościach</w:t>
      </w:r>
      <w:r>
        <w:rPr>
          <w:rStyle w:val="FootnoteReference"/>
        </w:rPr>
        <w:footnoteReference w:id="12"/>
      </w:r>
      <w:r>
        <w:t xml:space="preserve">.</w:t>
      </w:r>
    </w:p>
    <w:p>
      <w:pPr>
        <w:pStyle w:val="BodyText"/>
      </w:pPr>
      <w:r>
        <w:t xml:space="preserve">Aby to pokazać, rozwijam koncepcję Patricii Galletti, według której „pod imperialnym spojrzeniem</w:t>
      </w:r>
      <w:r>
        <w:t xml:space="preserve"> </w:t>
      </w:r>
      <w:r>
        <w:rPr>
          <w:i/>
          <w:iCs/>
        </w:rPr>
        <w:t xml:space="preserve">indios</w:t>
      </w:r>
      <w:r>
        <w:t xml:space="preserve"> </w:t>
      </w:r>
      <w:r>
        <w:t xml:space="preserve">i</w:t>
      </w:r>
      <w:r>
        <w:t xml:space="preserve"> </w:t>
      </w:r>
      <w:r>
        <w:rPr>
          <w:i/>
          <w:iCs/>
        </w:rPr>
        <w:t xml:space="preserve">Gitanos</w:t>
      </w:r>
      <w:r>
        <w:t xml:space="preserve"> </w:t>
      </w:r>
      <w:r>
        <w:t xml:space="preserve">stanowili część jednego repertuaru inności”, wychodzę jednak poza traktowanie romskich znaczących jako jednostki inności samej w sobie</w:t>
      </w:r>
      <w:r>
        <w:rPr>
          <w:rStyle w:val="FootnoteReference"/>
        </w:rPr>
        <w:footnoteReference w:id="13"/>
      </w:r>
      <w:r>
        <w:t xml:space="preserve">. Wychodzę też poza zestawienie przez Tamar Herzog wykluczeń z pełnego członkostwa we wspólnocie, z jakimi mierzyli się afrykańscy, romscy i rdzenni aktorzy jako miejscowi, a zarazem obcy w obrębie europejskich organizmów politycznych. Gdy powiąże się te idee, kategorie, polityki i doświadczenia w ramie transatlantyckiej, na powierzchnię wychodzą związki między potężnymi nowymi formami przynależności i wyobcowania</w:t>
      </w:r>
      <w:r>
        <w:rPr>
          <w:rStyle w:val="FootnoteReference"/>
        </w:rPr>
        <w:footnoteReference w:id="14"/>
      </w:r>
      <w:r>
        <w:t xml:space="preserve">. Niniejszy rozdział różni się także od wcześniejszych badań nad wyobrażeniami o Romach</w:t>
      </w:r>
      <w:r>
        <w:rPr>
          <w:rStyle w:val="FootnoteReference"/>
        </w:rPr>
        <w:footnoteReference w:id="15"/>
      </w:r>
      <w:r>
        <w:t xml:space="preserve">, rdzennych Amerykanach</w:t>
      </w:r>
      <w:r>
        <w:rPr>
          <w:rStyle w:val="FootnoteReference"/>
        </w:rPr>
        <w:footnoteReference w:id="16"/>
      </w:r>
      <w:r>
        <w:t xml:space="preserve"> </w:t>
      </w:r>
      <w:r>
        <w:t xml:space="preserve">czy Afrykanach i ludziach pochodzenia afrykańskiego</w:t>
      </w:r>
      <w:r>
        <w:rPr>
          <w:rStyle w:val="FootnoteReference"/>
        </w:rPr>
        <w:footnoteReference w:id="17"/>
      </w:r>
      <w:r>
        <w:t xml:space="preserve"> </w:t>
      </w:r>
      <w:r>
        <w:t xml:space="preserve">w umysłach nieromskich, imperialistycznie nastawionych białych, którzy myśleli o sobie, myśląc o kimś innym. Badania takie zazwyczaj rozpatrują w izolacji jeden lud, pozbawiany władzy przez opisowe i często poniżające słowa tych, którzy mieli cele imperialne lub narodowe, i przesłaniają bardziej złożoną sytuację. Sięgając natomiast po pojęcie relacyjnego urasowienia (</w:t>
      </w:r>
      <w:r>
        <w:rPr>
          <w:i/>
          <w:iCs/>
        </w:rPr>
        <w:t xml:space="preserve">relational racialization</w:t>
      </w:r>
      <w:r>
        <w:t xml:space="preserve">), wyrażanego i konstruowanego za pomocą skryptów rasowych, odsłaniam i śledzę warstwę ideologiczną, która lekko, lecz szczelnie spowijała wszystkie podmioty świata atlantyckiego.</w:t>
      </w:r>
    </w:p>
    <w:p>
      <w:pPr>
        <w:pStyle w:val="BodyText"/>
      </w:pPr>
      <w:r>
        <w:t xml:space="preserve">Rasa nie wyłoniła się po prostu z nowych spotkań transatlantyckich ani nie była logiczną konsekwencją jeszcze wcześniejszych doświadczeń Europejczyków z ludźmi spoza Europy. To raczej przybycie Romów do Europy Zachodniej w XV wieku</w:t>
      </w:r>
      <w:r>
        <w:rPr>
          <w:rStyle w:val="FootnoteReference"/>
        </w:rPr>
        <w:footnoteReference w:id="18"/>
      </w:r>
      <w:r>
        <w:t xml:space="preserve"> </w:t>
      </w:r>
      <w:r>
        <w:t xml:space="preserve">zabarwiło sposób, w jaki nieromscy Europejczycy nadawali sens innym nowym ludziom, których spotykali i którzy również wyglądali i zachowywali się w nieoczekiwany sposób. To, że Romowie dotarli do wielu miejsc w Europie akurat wtedy, gdy zaczynały się podróże transatlantyckie, sprawiło, że praktyki ontologiczne wypracowane w reakcji na Romów dopiero utrwalały się w umysłach Europejczyków, gdy rozpoczynały się europejskie wyprawy na zachód. W rezultacie europejskie wyobrażenia o Romach, rdzennych Amerykanach, Afrykanach i o sobie samych jako Europejczykach (a z czasem jako białych) rozwijały się wspólnie; właśnie dzięki niemal równoczesnemu zetknięciu skrypty przypisane każdej kategorii ludzi pozostawały dynamiczne i raz po raz nakładały się na skrypty dotyczące pozostałych. Nie dziwi zatem, że rozgraniczenia najczęściej stosowane wobec Romów świeżo przybyłych do Europy – dotyczące fizjonomii, mobilności, hermetyczności i szacowności – pozostawały pojęciowo dominujące, gdy Europejczycy w kontekście transatlantyckim rozważali innych i samych siebie. Były to symboliczne elementy, które ostatecznie zaprzęgnięto do pracy urasawiania.</w:t>
      </w:r>
    </w:p>
    <w:p>
      <w:pPr>
        <w:pStyle w:val="BodyText"/>
      </w:pPr>
      <w:r>
        <w:t xml:space="preserve">Przybycie Romów do Europy Zachodniej przygotowało Europejczyków – zwłaszcza gdy znaleźli się za granicą – do zwracania uwagi właśnie na takie kryteria w zetknięciu z nowymi obcymi. To wyostrzone wyczulenie na określone rejestry odmienności doprowadziło do współkonstruowania rasy w toku rozważań o Europejczykach, rdzennych Amerykanach, Afrykanach i Romach. Choć przebiegało to nierównomiernie w zależności od czasu, miejsca i celu, proces ten nasilił się, gdy horyzont atlantycki zajął w życiu Europejczyków bardziej centralne miejsce. Wewnętrzny Inny nie został jednak po prostu zastąpiony przez zewnętrznego Innego; obaj zostali raczej ze sobą zmieszani – wraz z tym, kto ich łączył – aby relacyjnie stworzyć rasę. Składniki tej „zmieszaności” (</w:t>
      </w:r>
      <w:r>
        <w:rPr>
          <w:i/>
          <w:iCs/>
        </w:rPr>
        <w:t xml:space="preserve">mingledness</w:t>
      </w:r>
      <w:r>
        <w:t xml:space="preserve">) można było następnie przywoływać w miarę potrzeby, w określonym momencie historycznym i dla określonego celu.</w:t>
      </w:r>
    </w:p>
    <w:p>
      <w:pPr>
        <w:pStyle w:val="BodyText"/>
      </w:pPr>
      <w:r>
        <w:t xml:space="preserve">Choć transatlantyckie relacyjne urasowienie Romów i innych ludzi zawsze pozostawało osadzone w historii, treść skryptu wchłonęła ponadczasowość</w:t>
      </w:r>
      <w:r>
        <w:rPr>
          <w:rStyle w:val="FootnoteReference"/>
        </w:rPr>
        <w:footnoteReference w:id="19"/>
      </w:r>
      <w:r>
        <w:t xml:space="preserve">, która wzmacniała trwałość rasy. Dzięki temu urasowione treści mogły przekraczać granice pokoleń. Romskie tropy reifikowały się w miarę wzrostu ich użyteczności, a ta rosła, gdy Europejczycy dostrzegali znaczenie i skalę nowych możliwości transatlantyckich. Oświeceniowe idee postępu podsycały niepokój kolonizatorów poszukujących dowodów własnej wyższości nad rzekomym prymitywizmem innych, których czuli się zobowiązani kontrolować i podporządkować. Tak oto sam historyczny proces wczesnonowożytnego transatlantyckiego relacyjnego urasowienia stworzył ponadczasowego „Cygana”, który do dziś ma się doskonale. Trop ten ustabilizował się dzięki nieustannemu kontrastowi z innymi urasowionymi postaciami stereotypowymi, w tym z cywilizowanym Europejczykiem. Niniejszy rozdział pokrótce opisuje i analizuje zaledwie kilka z tych historycznych momentów.</w:t>
      </w:r>
    </w:p>
    <w:p>
      <w:pPr>
        <w:pStyle w:val="BodyText"/>
      </w:pPr>
      <w:r>
        <w:t xml:space="preserve">Nieromscy Europejczycy posługiwali się Romami jako punktem odniesienia, gdy próbowali zrozumieć jeszcze mniej znanych ludzi, z którymi stykali się w toku kolonizacji. Praktyka ta pozostawała niepokojąco stała w różnych czasach i miejscach, wśród różnych ludzi. Można by nawet mówić o metaforycznej, półprzezroczystej „cygańskiej zasłonie” (</w:t>
      </w:r>
      <w:r>
        <w:rPr>
          <w:i/>
          <w:iCs/>
        </w:rPr>
        <w:t xml:space="preserve">Gypsy veil</w:t>
      </w:r>
      <w:r>
        <w:t xml:space="preserve">), która okrywała i splatała ze sobą wczesnonowożytnych aktorów transatlantyckich i spod której wyłoniło się myślenie rasowe. Ilustrujące to przykłady zza tej zasłony pochodzą z okresu od XVI do XIX wieku i z amerykańskich obszarów portugalskich, hiszpańskich, francuskich i angielskich, choć autorzy wywodzili się z jeszcze rozleglejszego obszaru i przemieszczali się po nim. Kilka osób i kilka polityk miało nawet powiązania środkowoeuropejskie. To, że autorzy większości źródeł albo sami podróżowali przez Atlantyk, albo uczestniczyli w transatlantyckiej wymianie myśli, odsłania mobilną ideologię, aktywną w czasie i przestrzeni.</w:t>
      </w:r>
    </w:p>
    <w:p>
      <w:pPr>
        <w:pStyle w:val="Heading1"/>
      </w:pPr>
      <w:r>
        <w:t xml:space="preserve">2. ATLANTYK IBERYJSKI</w:t>
      </w:r>
    </w:p>
    <w:p>
      <w:pPr>
        <w:pStyle w:val="FirstParagraph"/>
      </w:pPr>
      <w:r>
        <w:t xml:space="preserve">Najwcześniejszy znany przykład europejskiego zetknięcia z Amerykami przez „cygańską zasłonę” pochodzi z dwóch listów napisanych w 1501 roku przez ambasadora Wenecji w Portugalii Pietra Pasqualiga. W październiku tego roku do Lizbony przybyło ponad pięćdziesięciu mężczyzn, kobiet i dzieci – rdzennych mieszkańców dzisiejszej Grenlandii lub Nowej Fundlandii, jednych z pierwszych rdzennych Amerykanów, którzy dotarli do Europy. Te porwane rodziny wystawiono następnie na pokaz. W tydzień po ich przybyciu Pasqualigo pokusił się o opis: „Są podobnej barwy, postaci, wzrostu i wyglądu i bardzo przypominają</w:t>
      </w:r>
      <w:r>
        <w:t xml:space="preserve"> </w:t>
      </w:r>
      <w:r>
        <w:rPr>
          <w:i/>
          <w:iCs/>
        </w:rPr>
        <w:t xml:space="preserve">cingani</w:t>
      </w:r>
      <w:r>
        <w:t xml:space="preserve">”. Ten pierwszy udokumentowany przypadek powiązania przez Europejczyka Romów z rdzennymi Amerykanami szybko się rozpowszechnił dzięki przekładowi łacińskiemu, sporządzonemu w następnym roku, i francuskiemu z 1522 roku. W ciągu stuleci listy Pasqualiga wielokrotnie tłumaczono i przedrukowywano, co zapewniło jego słowom szeroki obieg. Dla niego „podobieństwo” wynikało z wyglądu fizycznego i choć wkrótce doszły do tego inne aspekty, fizjonomia pozostała spójnym wątkiem. Zarazem przypadek ten zrodził się w kontekście przemocy: przymus i władza towarzyszyły transatlantyckiemu relacyjnemu urasowieniu od samego początku</w:t>
      </w:r>
      <w:r>
        <w:rPr>
          <w:rStyle w:val="FootnoteReference"/>
        </w:rPr>
        <w:footnoteReference w:id="20"/>
      </w:r>
      <w:r>
        <w:t xml:space="preserve">.</w:t>
      </w:r>
    </w:p>
    <w:p>
      <w:pPr>
        <w:pStyle w:val="BodyText"/>
      </w:pPr>
      <w:r>
        <w:t xml:space="preserve">Około pięćdziesięciu lat później José Anchieta, jezuita z Wysp Kanaryjskich, misjonarz w portugalskiej kolonii Brazylii, próbował przybliżyć czytelnikom tamtejszą ludność rdzenną za pomocą rozważań relacyjnych. Opisawszy rdzennych Brazylijczyków jako pozbawionych miast, praw i rad, uznał ich za naród podzielony na wiele mniejszych narodów, z których większość wędrowała. Wychodząc od tych spostrzeżeń, pisał dalej:</w:t>
      </w:r>
    </w:p>
    <w:p>
      <w:pPr>
        <w:pStyle w:val="BlockText"/>
      </w:pPr>
      <w:r>
        <w:t xml:space="preserve">Pewne podobieństwa można dostrzec w owym włóczęgowskim rodzie ludzi, którzy chełpią się, że pochodzą od mętów Egipcjan […], a których w Europie nazywamy</w:t>
      </w:r>
      <w:r>
        <w:t xml:space="preserve"> </w:t>
      </w:r>
      <w:r>
        <w:rPr>
          <w:i/>
          <w:iCs/>
        </w:rPr>
        <w:t xml:space="preserve">Zingaros</w:t>
      </w:r>
      <w:r>
        <w:t xml:space="preserve">: [i] którzy również zdają się spokrewnieni z Brazylijczykami barwą brązu, choć</w:t>
      </w:r>
      <w:r>
        <w:t xml:space="preserve"> </w:t>
      </w:r>
      <w:r>
        <w:rPr>
          <w:i/>
          <w:iCs/>
        </w:rPr>
        <w:t xml:space="preserve">Zingari</w:t>
      </w:r>
      <w:r>
        <w:t xml:space="preserve"> </w:t>
      </w:r>
      <w:r>
        <w:t xml:space="preserve">są skłonni do kradzieży, którą Brazylijczycy się brzydzą.</w:t>
      </w:r>
      <w:r>
        <w:t xml:space="preserve"> </w:t>
      </w:r>
      <w:r>
        <w:rPr>
          <w:i/>
          <w:iCs/>
        </w:rPr>
        <w:t xml:space="preserve">Zingari</w:t>
      </w:r>
      <w:r>
        <w:t xml:space="preserve"> </w:t>
      </w:r>
      <w:r>
        <w:t xml:space="preserve">unikają wojen, które trawią Brazylijczyków. Noszą nasze ubrania i trudnią się drobnymi rzemiosłami, z których zarabiają pieniądze. Brazylijczycy są nadzy, bezczynni i niechętni pracy, nie znają innego zajęcia niż łowiectwo i rybołówstwo.</w:t>
      </w:r>
    </w:p>
    <w:p>
      <w:pPr>
        <w:pStyle w:val="FirstParagraph"/>
      </w:pPr>
      <w:r>
        <w:t xml:space="preserve">Choć barwa skóry pozostaje tu obecna, Anchieta objaśnia każdą z grup w odniesieniu do drugiej i do siebie samego za pomocą przeciwstawnych cech zachowania. Jego założenia o własnej cywilizowaności i dzikości innych można wyczytać z tego, jak zestawia stopień uczciwości, skłonność do przemocy, mobilność, motywację i przywiązanie do życia obywatelskiego</w:t>
      </w:r>
      <w:r>
        <w:rPr>
          <w:rStyle w:val="FootnoteReference"/>
        </w:rPr>
        <w:footnoteReference w:id="21"/>
      </w:r>
      <w:r>
        <w:t xml:space="preserve">. Anchieta, dziś święty Kościoła katolickiego, uchodzi za współzałożyciela zarówno São Paulo, jak i Rio de Janeiro. Jego pisma językoznawcze, etnograficzne i literackie krążyły szeroko w sieciach jezuickich, w rękopisach i drukiem. Późniejsi jezuici często czerpali od poprzedników przy układaniu typologii etnograficznych, zwłaszcza dotyczących Ameryk. Skłoniło to jednego z historyków do podkreślenia ich ważnej roli w tworzeniu „odrębnej kategorii ontologicznej »Indianina«”. Ów ontologiczny „Indianin” powstał jednak, przynajmniej częściowo, za sprawą ontologicznego „Cygana”</w:t>
      </w:r>
      <w:r>
        <w:rPr>
          <w:rStyle w:val="FootnoteReference"/>
        </w:rPr>
        <w:footnoteReference w:id="22"/>
      </w:r>
      <w:r>
        <w:t xml:space="preserve">.</w:t>
      </w:r>
    </w:p>
    <w:p>
      <w:pPr>
        <w:pStyle w:val="BodyText"/>
      </w:pPr>
      <w:r>
        <w:t xml:space="preserve">To powiązanie pojawia się ponownie w kronice z 1554 roku, pozostawionej przez niemieckiego podróżnika Ulrica Schmidla, który dwie dekady wcześniej uczestniczył w wyprawie, która założyła Buenos Aires. Schmidl wspominał swoje pierwsze spotkania z rdzennym ludem Querandi przez pryzmat własnych założeń o Romach w krajach niemieckich. Pisząc dla publiczności zaciekawionej Amerykami, Schmidl niewątpliwie starał się uczynić czytelnym miejsce, które niewielu Europejczyków potrafiło sobie wyobrazić, a cóż dopiero go doświadczyć. Jego porównanie, choć zwięzłe, sugeruje, że zarówno mobilność Romów i Querandi, jak i postrzeganie ich jako obcych – nawet we własnych ojczyznach – funkcjonowały na tyle podobnie, by rzucić dla niemieckojęzycznych odbiorców światło na obie grupy innych i na nich samych. Jak to ujął, Querandi „nie mają w tym kraju własnego stałego miejsca; wędrują po ziemi tak samo jak tu, w krajach niemieckich,</w:t>
      </w:r>
      <w:r>
        <w:t xml:space="preserve"> </w:t>
      </w:r>
      <w:r>
        <w:rPr>
          <w:i/>
          <w:iCs/>
        </w:rPr>
        <w:t xml:space="preserve">Zigeuner</w:t>
      </w:r>
      <w:r>
        <w:t xml:space="preserve">”</w:t>
      </w:r>
      <w:r>
        <w:rPr>
          <w:rStyle w:val="FootnoteReference"/>
        </w:rPr>
        <w:footnoteReference w:id="23"/>
      </w:r>
      <w:r>
        <w:t xml:space="preserve">. Schmidl powiązał ze sobą obie grupy w praktyce oswajania, a zarazem powiązał je obie z sobą samym na zasadzie kontrastu – biali Europejczycy nie „wędrowali”. Zarówno ta praktyka, jak i jej treści ideologiczne miały przetrwać.</w:t>
      </w:r>
    </w:p>
    <w:p>
      <w:pPr>
        <w:pStyle w:val="BodyText"/>
      </w:pPr>
      <w:r>
        <w:t xml:space="preserve">„Cygańska zasłona”, na którą zwraca naszą uwagę Schmidl, rozpostarła się dalej, obejmując innych ludzi i inne sytuacje. Praktyki rolnicze osadników kolonialnych w okolicach São Paulo niepokoiły w latach 40. XVII wieku władze królewskie na tyle, że te retorycznie objaśniały owe metody uprawy relacyjnie, pod wpływem sposobu postrzegania przesiąkniętego romskością. Stosowanie technik gospodarki żarowej, przejętych od miejscowych rdzennych rolników, oznaczało, że koloniści zajmujący się rolnictwem „</w:t>
      </w:r>
      <w:r>
        <w:rPr>
          <w:i/>
          <w:iCs/>
        </w:rPr>
        <w:t xml:space="preserve">se azingarem</w:t>
      </w:r>
      <w:r>
        <w:t xml:space="preserve">”, czyli przemieszczają się jak</w:t>
      </w:r>
      <w:r>
        <w:t xml:space="preserve"> </w:t>
      </w:r>
      <w:r>
        <w:rPr>
          <w:i/>
          <w:iCs/>
        </w:rPr>
        <w:t xml:space="preserve">Ciganos</w:t>
      </w:r>
      <w:r>
        <w:t xml:space="preserve">. Niepokoiło to urzędników, którym zależało na osiadłej ludności, i pobrzmiewało echem skarg na portugalskich Romów, których mobilność w tym czasie – dość paradoksalnie – często kończyła się ich zesłaniem na ojczyste ziemie rdzennych mieszkańców Ameryki. Być Portugalczykiem jak należy w Brazylii oznaczało odrzucać zachowania przypisywane wspólnie ludności rdzennej i Romom, co pokazuje, jak wytwarzanie urasowionych wyobrażeń o jednej grupie przebiegało równolegle z wytwarzaniem wyobrażeń o innych i o sobie samych</w:t>
      </w:r>
      <w:r>
        <w:rPr>
          <w:rStyle w:val="FootnoteReference"/>
        </w:rPr>
        <w:footnoteReference w:id="24"/>
      </w:r>
      <w:r>
        <w:t xml:space="preserve">.</w:t>
      </w:r>
    </w:p>
    <w:p>
      <w:pPr>
        <w:pStyle w:val="BodyText"/>
      </w:pPr>
      <w:r>
        <w:t xml:space="preserve">W Hiszpanii zasłona ta przejawiała się w sposób bardziej praktyczny. Rozważania o tym, jak postępować z tamtejszymi Romami, często prowadzono łącznie z rozważaniami o rdzennych poddanych w Ameryce. Najwcześniejsze pisma w tej sprawie zmierzały do odseparowania obu grup, późniejsze natomiast proponowały ich połączenie. Bez względu na to, do jakiego wyniku dążono, rozpatrywanie ich łącznie wzmacniało więzi, które – jak sobie wyobrażano – je łączyły. Od 1581 roku</w:t>
      </w:r>
      <w:r>
        <w:t xml:space="preserve"> </w:t>
      </w:r>
      <w:r>
        <w:rPr>
          <w:i/>
          <w:iCs/>
        </w:rPr>
        <w:t xml:space="preserve">Gitanos</w:t>
      </w:r>
      <w:r>
        <w:t xml:space="preserve"> </w:t>
      </w:r>
      <w:r>
        <w:t xml:space="preserve">nie wolno było emigrować do Ameryki Hiszpańskiej, ponieważ mieli szkodzić próbom nawracania rdzennej ludności, którą „przyrodzona prostota” czyniła łatwowiernymi ofiarami „sztuczek”</w:t>
      </w:r>
      <w:r>
        <w:t xml:space="preserve"> </w:t>
      </w:r>
      <w:r>
        <w:rPr>
          <w:i/>
          <w:iCs/>
        </w:rPr>
        <w:t xml:space="preserve">Gitanos</w:t>
      </w:r>
      <w:r>
        <w:rPr>
          <w:rStyle w:val="FootnoteReference"/>
        </w:rPr>
        <w:footnoteReference w:id="25"/>
      </w:r>
      <w:r>
        <w:t xml:space="preserve">. Podobne obawy zgłaszano w połowie XVIII wieku, gdy ponownie rozważano możliwość deportowania</w:t>
      </w:r>
      <w:r>
        <w:t xml:space="preserve"> </w:t>
      </w:r>
      <w:r>
        <w:rPr>
          <w:i/>
          <w:iCs/>
        </w:rPr>
        <w:t xml:space="preserve">Gitanos</w:t>
      </w:r>
      <w:r>
        <w:t xml:space="preserve"> </w:t>
      </w:r>
      <w:r>
        <w:t xml:space="preserve">do Ameryk. Raport z 1749 roku przedłożony Ferdynandowi VI wymieniał wśród wad takiego rozwiązania i to, „że skoro źle żyją w Hiszpanii, w Indiach będą żyć jeszcze gorzej i zdeprawują biednych Indian”</w:t>
      </w:r>
      <w:r>
        <w:rPr>
          <w:rStyle w:val="FootnoteReference"/>
        </w:rPr>
        <w:footnoteReference w:id="26"/>
      </w:r>
      <w:r>
        <w:t xml:space="preserve">.</w:t>
      </w:r>
    </w:p>
    <w:p>
      <w:pPr>
        <w:pStyle w:val="BodyText"/>
      </w:pPr>
      <w:r>
        <w:t xml:space="preserve">Inni hiszpańscy myśliciele proponowali rozwiązanie alternatywne, które zapewne wydawało się logiczne wobec bliskości, jaką Romowie i rdzenni mieszkańcy Ameryki mieli w ich umysłach. W dyskusjach nad tym, co zrobić z osobami uwięzionymi w ramach „Wielkiej Obławy” – skoordynowanej, rozpoczętej w 1749 roku próby aresztowania, a następnie wyeliminowania wszystkich</w:t>
      </w:r>
      <w:r>
        <w:t xml:space="preserve"> </w:t>
      </w:r>
      <w:r>
        <w:rPr>
          <w:i/>
          <w:iCs/>
        </w:rPr>
        <w:t xml:space="preserve">Gitanos</w:t>
      </w:r>
      <w:r>
        <w:t xml:space="preserve"> </w:t>
      </w:r>
      <w:r>
        <w:t xml:space="preserve">w Hiszpanii – mąż stanu i reformator Pedro Rodríguez de Campomanes zaproponował uchylenie dekretu z 1581 roku, aby umożliwić przesiedlenie dzieci</w:t>
      </w:r>
      <w:r>
        <w:t xml:space="preserve"> </w:t>
      </w:r>
      <w:r>
        <w:rPr>
          <w:i/>
          <w:iCs/>
        </w:rPr>
        <w:t xml:space="preserve">Gitanos</w:t>
      </w:r>
      <w:r>
        <w:t xml:space="preserve"> </w:t>
      </w:r>
      <w:r>
        <w:t xml:space="preserve">i samotnych kobiet do kolonii amerykańskich. Kobiety te miały poślubić rdzennych mężczyzn i w ten sposób przyczynić się do zniknięcia hiszpańskich</w:t>
      </w:r>
      <w:r>
        <w:t xml:space="preserve"> </w:t>
      </w:r>
      <w:r>
        <w:rPr>
          <w:i/>
          <w:iCs/>
        </w:rPr>
        <w:t xml:space="preserve">Gitanos</w:t>
      </w:r>
      <w:r>
        <w:t xml:space="preserve">; zapewne także owi „Indianie” mieli jako tacy zniknąć. Inne projekty zalecały przewożenie młodych romskich chłopców i dziewcząt na słabo zaludnione wyspy i do kolonii i łączenie ich w małżeństwa z miejscowymi. Projekt ten z dużą dozą wyobraźni zakładał, że wszystkie strony dostrzegą korzyści płynące z tego planu, skoro</w:t>
      </w:r>
      <w:r>
        <w:t xml:space="preserve"> </w:t>
      </w:r>
      <w:r>
        <w:rPr>
          <w:i/>
          <w:iCs/>
        </w:rPr>
        <w:t xml:space="preserve">Gitanos</w:t>
      </w:r>
      <w:r>
        <w:t xml:space="preserve"> </w:t>
      </w:r>
      <w:r>
        <w:t xml:space="preserve">nigdy „nie zdołają uchodzić za Hiszpanów” i skoro żaden z nich nie zechce „zachować znienawidzonego miana</w:t>
      </w:r>
      <w:r>
        <w:t xml:space="preserve"> </w:t>
      </w:r>
      <w:r>
        <w:rPr>
          <w:i/>
          <w:iCs/>
        </w:rPr>
        <w:t xml:space="preserve">Gitanos</w:t>
      </w:r>
      <w:r>
        <w:t xml:space="preserve">”. Choć nigdy nie wprowadzono ich w życie, późniejsze plany powtarzały ideę geograficznego i seksualnego rozdzielenia romskich kobiet i mężczyzn. Kobiety należało wysłać na kontynent amerykański, by poślubiły „Indian, Metysów lub Kreolów”, mężczyzn zaś na wyspy kolonialne, by poślubili „wyspiarki”. Celem było całkowite zniszczenie Romów za pomocą środków kontroli populacji – nadzorowania ich wyborów reprodukcyjnych w kontekście imperialnych możliwości atlantyckich – które wymagały istnienia ludności rdzennej, w której mogliby się rozpłynąć</w:t>
      </w:r>
      <w:r>
        <w:rPr>
          <w:rStyle w:val="FootnoteReference"/>
        </w:rPr>
        <w:footnoteReference w:id="27"/>
      </w:r>
      <w:r>
        <w:t xml:space="preserve">. Choć nigdy wprost nie wspominano, co oznaczałoby to dla przyjmujących ich społeczności rdzennych, można przypuszczać, że szerzenie „hiszpańskości”, nawet w jej skażonej, romskiej wersji, mogło uchodzić także za korzystne dla imperium. Sieć przekonań, która wiązała ze sobą nieromskich i romskich Hiszpanów oraz rdzennych mieszkańców Ameryki, zarazem wyrażała i wytwarzała urasowione treści, polityki i doświadczenia. Choć zrodzona na Atlantyku, dynamika ta rozprzestrzeniała się dalej. Lekcje takiego rasowego sprawowania rządów w Ameryce Hiszpańskiej przeniesiono do Europy Środkowej za pośrednictwem mechanizmów władzy Habsburgów</w:t>
      </w:r>
      <w:r>
        <w:rPr>
          <w:rStyle w:val="FootnoteReference"/>
        </w:rPr>
        <w:footnoteReference w:id="28"/>
      </w:r>
      <w:r>
        <w:t xml:space="preserve">.</w:t>
      </w:r>
    </w:p>
    <w:p>
      <w:pPr>
        <w:pStyle w:val="BodyText"/>
      </w:pPr>
      <w:r>
        <w:t xml:space="preserve">To, że</w:t>
      </w:r>
      <w:r>
        <w:t xml:space="preserve"> </w:t>
      </w:r>
      <w:r>
        <w:rPr>
          <w:i/>
          <w:iCs/>
        </w:rPr>
        <w:t xml:space="preserve">Gitanos</w:t>
      </w:r>
      <w:r>
        <w:t xml:space="preserve"> </w:t>
      </w:r>
      <w:r>
        <w:t xml:space="preserve">i rdzenni mieszkańcy Ameryki stykali się ze sobą zarówno w Amerykach, jak i w Europie, wskazuje na ich udział w tworzeniu owej ideologicznej bliskości, która z kolei wpływała na niektóre ich wybory. Weźmy tylko jeden przykład: w 1755 roku Manuel Ximénez odwołał się od wyroku więzienia z pracą przymusową, wydanego za złamanie jednego z licznych obowiązujących wówczas w Hiszpanii dekretów przeciwko</w:t>
      </w:r>
      <w:r>
        <w:t xml:space="preserve"> </w:t>
      </w:r>
      <w:r>
        <w:rPr>
          <w:i/>
          <w:iCs/>
        </w:rPr>
        <w:t xml:space="preserve">Gitanos</w:t>
      </w:r>
      <w:r>
        <w:t xml:space="preserve">. Jako podstawę odwołania wskazał, że jego rodzice nie byli</w:t>
      </w:r>
      <w:r>
        <w:t xml:space="preserve"> </w:t>
      </w:r>
      <w:r>
        <w:rPr>
          <w:i/>
          <w:iCs/>
        </w:rPr>
        <w:t xml:space="preserve">Gitanos</w:t>
      </w:r>
      <w:r>
        <w:t xml:space="preserve">, lecz rdzennymi mieszkańcami Kuby. Ximénez sądził, że nieporozumienie co do jego pochodzenia wynikło stąd, iż jego żona, María Francisca, była „</w:t>
      </w:r>
      <w:r>
        <w:rPr>
          <w:i/>
          <w:iCs/>
        </w:rPr>
        <w:t xml:space="preserve">de nación Gitana</w:t>
      </w:r>
      <w:r>
        <w:t xml:space="preserve">”, co skłoniło innych do przypisania mu pochodzenia</w:t>
      </w:r>
      <w:r>
        <w:t xml:space="preserve"> </w:t>
      </w:r>
      <w:r>
        <w:rPr>
          <w:i/>
          <w:iCs/>
        </w:rPr>
        <w:t xml:space="preserve">Gitano</w:t>
      </w:r>
      <w:r>
        <w:t xml:space="preserve">, a nie „</w:t>
      </w:r>
      <w:r>
        <w:rPr>
          <w:i/>
          <w:iCs/>
        </w:rPr>
        <w:t xml:space="preserve">Indio</w:t>
      </w:r>
      <w:r>
        <w:t xml:space="preserve">”</w:t>
      </w:r>
      <w:r>
        <w:rPr>
          <w:rStyle w:val="FootnoteReference"/>
        </w:rPr>
        <w:footnoteReference w:id="29"/>
      </w:r>
      <w:r>
        <w:t xml:space="preserve">. Iberyjscy i kolonialni urzędnicy, którzy wobec obowiązujących ograniczeń wymierzonych w</w:t>
      </w:r>
      <w:r>
        <w:t xml:space="preserve"> </w:t>
      </w:r>
      <w:r>
        <w:rPr>
          <w:i/>
          <w:iCs/>
        </w:rPr>
        <w:t xml:space="preserve">Gitanos</w:t>
      </w:r>
      <w:r>
        <w:t xml:space="preserve"> </w:t>
      </w:r>
      <w:r>
        <w:t xml:space="preserve">musieli rozpoznawać Romów i oddzielać ich od wszystkich pozostałych, często opierali się na reputacji danej osoby. Pewien sędzia w Buenos Aires doszedł zatem do wniosku, „że niepodobna ustalić z pewnością, kto jest</w:t>
      </w:r>
      <w:r>
        <w:t xml:space="preserve"> </w:t>
      </w:r>
      <w:r>
        <w:rPr>
          <w:i/>
          <w:iCs/>
        </w:rPr>
        <w:t xml:space="preserve">Gitano</w:t>
      </w:r>
      <w:r>
        <w:t xml:space="preserve">, a kto nie”, choć w Hiszpanii wielu ludzi wierzyło w istnienie wyraźnych znamion, które nadawały jednostkom wygląd</w:t>
      </w:r>
      <w:r>
        <w:t xml:space="preserve"> </w:t>
      </w:r>
      <w:r>
        <w:rPr>
          <w:i/>
          <w:iCs/>
        </w:rPr>
        <w:t xml:space="preserve">Gitanos</w:t>
      </w:r>
      <w:r>
        <w:rPr>
          <w:rStyle w:val="FootnoteReference"/>
        </w:rPr>
        <w:footnoteReference w:id="30"/>
      </w:r>
      <w:r>
        <w:t xml:space="preserve">.</w:t>
      </w:r>
    </w:p>
    <w:p>
      <w:pPr>
        <w:pStyle w:val="BodyText"/>
      </w:pPr>
      <w:r>
        <w:t xml:space="preserve">To, że rdzenni Amerykanie i Romowie utrzymywali ze sobą kontakty towarzyskie, prowadziło do niejasności co do pochodzenia poszczególnych osób i miejsca, jakie należało im wyznaczyć w imperialnych typologiach atlantyckich. W rezultacie dekrety mające kontrolować hiszpańskich</w:t>
      </w:r>
      <w:r>
        <w:t xml:space="preserve"> </w:t>
      </w:r>
      <w:r>
        <w:rPr>
          <w:i/>
          <w:iCs/>
        </w:rPr>
        <w:t xml:space="preserve">Gitanos</w:t>
      </w:r>
      <w:r>
        <w:t xml:space="preserve"> </w:t>
      </w:r>
      <w:r>
        <w:t xml:space="preserve">często obejmowały nie-Romów, co świadczy o zawikłaniu postrzeganych treści i kategorii rasowych. Kowalowi Bartolomé Fernándezowi nakazano na przykład w 1746 roku opuścić Iznájar i przenieść się do Kordoby, miasta, w którym</w:t>
      </w:r>
      <w:r>
        <w:t xml:space="preserve"> </w:t>
      </w:r>
      <w:r>
        <w:rPr>
          <w:i/>
          <w:iCs/>
        </w:rPr>
        <w:t xml:space="preserve">Gitanos</w:t>
      </w:r>
      <w:r>
        <w:t xml:space="preserve"> </w:t>
      </w:r>
      <w:r>
        <w:t xml:space="preserve">wolno było mieszkać. Dekret z tego roku nakazywał Romom przesiedlić się do jednej z czterdziestu jeden wyznaczonych miejscowości w kontynentalnej Hiszpanii. Fernández odwołał się od tej decyzji, powołując się na to, że jest „</w:t>
      </w:r>
      <w:r>
        <w:rPr>
          <w:i/>
          <w:iCs/>
        </w:rPr>
        <w:t xml:space="preserve">de nación Indiana</w:t>
      </w:r>
      <w:r>
        <w:t xml:space="preserve">”. Jego kowalskie rzemiosło, tradycyjnie uprawiane przez</w:t>
      </w:r>
      <w:r>
        <w:t xml:space="preserve"> </w:t>
      </w:r>
      <w:r>
        <w:rPr>
          <w:i/>
          <w:iCs/>
        </w:rPr>
        <w:t xml:space="preserve">Gitanos</w:t>
      </w:r>
      <w:r>
        <w:t xml:space="preserve"> </w:t>
      </w:r>
      <w:r>
        <w:t xml:space="preserve">i od niedawna im zakazane, mogło ściągnąć na niego podejrzenia, zwłaszcza jeśli wyglądał w określony sposób lub obracał się wśród określonych ludzi. Bez względu na przyczynę władze potwierdziły deklarowaną przez niego tożsamość i pozwolono mu pozostać w rodzinnym mieście. Jego doświadczenie pokazuje jednak, że</w:t>
      </w:r>
      <w:r>
        <w:t xml:space="preserve"> </w:t>
      </w:r>
      <w:r>
        <w:rPr>
          <w:i/>
          <w:iCs/>
        </w:rPr>
        <w:t xml:space="preserve">proces</w:t>
      </w:r>
      <w:r>
        <w:t xml:space="preserve"> </w:t>
      </w:r>
      <w:r>
        <w:t xml:space="preserve">konstruowania rasy równie łatwo burzył ludzkie życie jak każde zreifikowane pojęcie rasy</w:t>
      </w:r>
      <w:r>
        <w:rPr>
          <w:rStyle w:val="FootnoteReference"/>
        </w:rPr>
        <w:footnoteReference w:id="31"/>
      </w:r>
      <w:r>
        <w:t xml:space="preserve">.</w:t>
      </w:r>
    </w:p>
    <w:p>
      <w:pPr>
        <w:pStyle w:val="BodyText"/>
      </w:pPr>
      <w:r>
        <w:t xml:space="preserve">Kolejne świadectwa z hiszpańskiego świata atlantyckiego ukazują fakturę tego procesu. Kiedy polski jezuita Florian Paucke odnotował w związku ze swym pobytem wśród ludu Moqoit na terenie dzisiejszego Paragwaju w połowie XVIII wieku, że „barwa ciała i twarzy tych Indian jest taka sama jak ta, którą widuje się u</w:t>
      </w:r>
      <w:r>
        <w:t xml:space="preserve"> </w:t>
      </w:r>
      <w:r>
        <w:rPr>
          <w:i/>
          <w:iCs/>
        </w:rPr>
        <w:t xml:space="preserve">Zigeuner</w:t>
      </w:r>
      <w:r>
        <w:t xml:space="preserve">”, tkał i rozpościerał „cygańską zasłonę”. Paucke kontynuował opis: „jeden z tych chłopców był z wyglądu i barwy biały, nie jak inni, o cerze</w:t>
      </w:r>
      <w:r>
        <w:t xml:space="preserve"> </w:t>
      </w:r>
      <w:r>
        <w:rPr>
          <w:i/>
          <w:iCs/>
        </w:rPr>
        <w:t xml:space="preserve">Zigeuner</w:t>
      </w:r>
      <w:r>
        <w:t xml:space="preserve"> </w:t>
      </w:r>
      <w:r>
        <w:t xml:space="preserve">[…] [Inni] mają twarz biało-żółtą i nieco zaczerwienione policzki, inni są jasnobrązowi lub ciemnej karnacji, inni ciemnobrązowi, inni jak</w:t>
      </w:r>
      <w:r>
        <w:t xml:space="preserve"> </w:t>
      </w:r>
      <w:r>
        <w:rPr>
          <w:i/>
          <w:iCs/>
        </w:rPr>
        <w:t xml:space="preserve">Zigeuner</w:t>
      </w:r>
      <w:r>
        <w:t xml:space="preserve"> </w:t>
      </w:r>
      <w:r>
        <w:t xml:space="preserve">na Węgrzech”</w:t>
      </w:r>
      <w:r>
        <w:rPr>
          <w:rStyle w:val="FootnoteReference"/>
        </w:rPr>
        <w:footnoteReference w:id="32"/>
      </w:r>
      <w:r>
        <w:t xml:space="preserve">. Także i tu sieć jezuickich kapłanów odegrała swoją rolę w obiegu tych fizjonomicznych wyobrażeń.</w:t>
      </w:r>
    </w:p>
    <w:p>
      <w:pPr>
        <w:pStyle w:val="BodyText"/>
      </w:pPr>
      <w:r>
        <w:t xml:space="preserve">Dwaj inni jezuici, piszący z hiszpańskiej Ameryki Południowej – jeden z La Platy, drugi z północnego Meksyku – odnosili mobilność pewnych grup plemiennych do</w:t>
      </w:r>
      <w:r>
        <w:t xml:space="preserve"> </w:t>
      </w:r>
      <w:r>
        <w:rPr>
          <w:i/>
          <w:iCs/>
        </w:rPr>
        <w:t xml:space="preserve">Gitanos</w:t>
      </w:r>
      <w:r>
        <w:t xml:space="preserve"> </w:t>
      </w:r>
      <w:r>
        <w:t xml:space="preserve">w Hiszpanii, utrwalając tym samym założenie, że Hiszpanie nie powinni być mobilni. „Jobas to</w:t>
      </w:r>
      <w:r>
        <w:t xml:space="preserve"> </w:t>
      </w:r>
      <w:r>
        <w:rPr>
          <w:i/>
          <w:iCs/>
        </w:rPr>
        <w:t xml:space="preserve">nación muy Gitana</w:t>
      </w:r>
      <w:r>
        <w:t xml:space="preserve">, lud wędrowny i górski; choć mają różne osady, gdzie mogą się schronić i zamieszkać, wielu z nich zawsze wędruje po cygańsku od wąwozu do wąwozu” – zanotował w 1762 roku Joseph Roldán</w:t>
      </w:r>
      <w:r>
        <w:rPr>
          <w:rStyle w:val="FootnoteReference"/>
        </w:rPr>
        <w:footnoteReference w:id="33"/>
      </w:r>
      <w:r>
        <w:t xml:space="preserve">. Podobnie Manuel Moreno Alonso opisał postój w Portoryko podczas swej podróży z 1747 roku z Kadyksu do Veracruz,</w:t>
      </w:r>
      <w:commentRangeStart w:id="1"/>
      <w:commentRangeEnd w:id="1"/>
      <w:r>
        <w:rPr>
          <w:rStyle w:val="CommentReference"/>
        </w:rPr>
        <w:commentReference w:id="1"/>
      </w:r>
      <w:r>
        <w:t xml:space="preserve"> </w:t>
      </w:r>
      <w:r>
        <w:t xml:space="preserve">odnotowując, że rdzenni mieszkańcy, zwani „Jíbaros”, uderzyli go „mulacką” skórą i „cygańskim” wyglądem kobiet</w:t>
      </w:r>
      <w:r>
        <w:rPr>
          <w:rStyle w:val="FootnoteReference"/>
        </w:rPr>
        <w:footnoteReference w:id="34"/>
      </w:r>
      <w:r>
        <w:t xml:space="preserve">. Fizjonomia i mobilność pomagały w tych przykładach hiszpańskim mężczyznom nadać sens rdzennym mieszkańcom Ameryki za pomocą wyobrażeń, jakie żywili o innych i o sobie samych. Rozumienie przez pryzmat skryptów rasowych wytwarzało i utrwalało matrycę rasową w całym iberyjskim świecie atlantyckim i poza nim.</w:t>
      </w:r>
    </w:p>
    <w:p>
      <w:pPr>
        <w:pStyle w:val="Heading1"/>
      </w:pPr>
      <w:r>
        <w:t xml:space="preserve">3. ATLANTYK FRANCUSKI</w:t>
      </w:r>
    </w:p>
    <w:p>
      <w:pPr>
        <w:pStyle w:val="FirstParagraph"/>
      </w:pPr>
      <w:r>
        <w:t xml:space="preserve">Matryca rasowa utkana w obrębie Atlantyku iberyjskiego splątała się z analogicznymi założeniami i doświadczeniami francuskiego świata atlantyckiego. Francuscy Romowie, nazywani we wczesnej nowożytności</w:t>
      </w:r>
      <w:r>
        <w:t xml:space="preserve"> </w:t>
      </w:r>
      <w:r>
        <w:rPr>
          <w:i/>
          <w:iCs/>
        </w:rPr>
        <w:t xml:space="preserve">Bohémiens</w:t>
      </w:r>
      <w:r>
        <w:t xml:space="preserve">, służyli francuskim kolonizatorom, którzy sami</w:t>
      </w:r>
      <w:r>
        <w:t xml:space="preserve"> </w:t>
      </w:r>
      <w:r>
        <w:rPr>
          <w:i/>
          <w:iCs/>
        </w:rPr>
        <w:t xml:space="preserve">Bohémiens</w:t>
      </w:r>
      <w:r>
        <w:t xml:space="preserve"> </w:t>
      </w:r>
      <w:r>
        <w:t xml:space="preserve">nie byli, za rasowy punkt odniesienia w obrębie sfery ideologicznej, którą działania samych Romów pomagały splatać. W 1727 roku jezuita Paul Poisson pogardliwie porównał francuskich</w:t>
      </w:r>
      <w:r>
        <w:t xml:space="preserve"> </w:t>
      </w:r>
      <w:r>
        <w:rPr>
          <w:i/>
          <w:iCs/>
        </w:rPr>
        <w:t xml:space="preserve">voyageurs</w:t>
      </w:r>
      <w:r>
        <w:t xml:space="preserve">, którzy prowadzili handel wśród plemion, zarówno do ludności rdzennej, jak i do Romów. Zauważa: „Widząc ich okrytych jedynie przepaską, bardziej ogorzałych i bardziej osmalonych od Dzikich, wyciągniętych na piasku albo przykucniętych jak małpy i pożerających to, co trzymają w ręku, nie wiadomo, czy to gromada</w:t>
      </w:r>
      <w:r>
        <w:t xml:space="preserve"> </w:t>
      </w:r>
      <w:r>
        <w:rPr>
          <w:i/>
          <w:iCs/>
        </w:rPr>
        <w:t xml:space="preserve">Bohémiens</w:t>
      </w:r>
      <w:r>
        <w:t xml:space="preserve">, czy ludzie ucztujący na sabacie”</w:t>
      </w:r>
      <w:r>
        <w:rPr>
          <w:rStyle w:val="FootnoteReference"/>
        </w:rPr>
        <w:footnoteReference w:id="35"/>
      </w:r>
      <w:r>
        <w:t xml:space="preserve">. Jego uwaga odsłania lęk przed staczaniem się Francuzów w „dzikość”, a zarazem działającą tu perspektywę relacyjną. Wzmianki Poissona o ciemnej barwie skóry, leniwych i zwierzęcych pozach oraz o ubiorze wskazują na próbę usytuowania</w:t>
      </w:r>
      <w:r>
        <w:t xml:space="preserve"> </w:t>
      </w:r>
      <w:r>
        <w:rPr>
          <w:i/>
          <w:iCs/>
        </w:rPr>
        <w:t xml:space="preserve">Bohémiens</w:t>
      </w:r>
      <w:r>
        <w:t xml:space="preserve">, ludności rdzennej i białych</w:t>
      </w:r>
      <w:r>
        <w:t xml:space="preserve"> </w:t>
      </w:r>
      <w:r>
        <w:rPr>
          <w:i/>
          <w:iCs/>
        </w:rPr>
        <w:t xml:space="preserve">voyageurs</w:t>
      </w:r>
      <w:r>
        <w:t xml:space="preserve"> </w:t>
      </w:r>
      <w:r>
        <w:t xml:space="preserve">względem siebie nawzajem w jego urasawiającym światopoglądzie. Poisson ujawnia postrzeganą bliskość między</w:t>
      </w:r>
      <w:r>
        <w:t xml:space="preserve"> </w:t>
      </w:r>
      <w:r>
        <w:rPr>
          <w:i/>
          <w:iCs/>
        </w:rPr>
        <w:t xml:space="preserve">Bohémiens</w:t>
      </w:r>
      <w:r>
        <w:t xml:space="preserve"> </w:t>
      </w:r>
      <w:r>
        <w:t xml:space="preserve">a ludźmi niebiałymi, a także własne założenia o tym, co znaczyło być Francuzem i być białym. Znacznie później inny francuski podróżnik dał wyraz tej bliskości, gdy – z pewnym wahaniem – opisał muzyków na balu karnawałowym w Nowym Orleanie w 1802 roku jako „</w:t>
      </w:r>
      <w:r>
        <w:rPr>
          <w:i/>
          <w:iCs/>
        </w:rPr>
        <w:t xml:space="preserve">Bohèmes</w:t>
      </w:r>
      <w:r>
        <w:t xml:space="preserve"> </w:t>
      </w:r>
      <w:r>
        <w:t xml:space="preserve">albo ludzi kolorowych, rzępolących zawzięcie na skrzypcach”</w:t>
      </w:r>
      <w:r>
        <w:rPr>
          <w:rStyle w:val="FootnoteReference"/>
        </w:rPr>
        <w:footnoteReference w:id="36"/>
      </w:r>
      <w:r>
        <w:t xml:space="preserve">.</w:t>
      </w:r>
    </w:p>
    <w:p>
      <w:pPr>
        <w:pStyle w:val="BodyText"/>
      </w:pPr>
      <w:r>
        <w:t xml:space="preserve">Ta bliskość znajduje potwierdzenie w wielu osiemnastowiecznych źródłach z Luizjany. Niektórzy</w:t>
      </w:r>
      <w:r>
        <w:t xml:space="preserve"> </w:t>
      </w:r>
      <w:r>
        <w:rPr>
          <w:i/>
          <w:iCs/>
        </w:rPr>
        <w:t xml:space="preserve">Bohémiens</w:t>
      </w:r>
      <w:r>
        <w:t xml:space="preserve"> </w:t>
      </w:r>
      <w:r>
        <w:t xml:space="preserve">z kolonii francuskiej – wielu z rodzin deportowanych w 1720 roku – rzeczywiście decydowali się nawiązywać więzi z czarnymi i z ludnością rdzenną.</w:t>
      </w:r>
      <w:r>
        <w:t xml:space="preserve"> </w:t>
      </w:r>
      <w:r>
        <w:rPr>
          <w:i/>
          <w:iCs/>
        </w:rPr>
        <w:t xml:space="preserve">Bohémienne</w:t>
      </w:r>
      <w:r>
        <w:t xml:space="preserve"> </w:t>
      </w:r>
      <w:r>
        <w:t xml:space="preserve">Cécile Christophe Varangue, urodzona wkrótce po deportacji matki, oraz jej córki François i Babé utrzymywały kontakty towarzyskie i wchodziły w intymne, rodzinne i zawodowe związki z rdzennymi mężczyznami. Co najmniej jedna angielska Romka postępowała podobnie z pewnym Afrykaninem w Wirginii pod koniec poprzedniego stulecia</w:t>
      </w:r>
      <w:r>
        <w:rPr>
          <w:rStyle w:val="FootnoteReference"/>
        </w:rPr>
        <w:footnoteReference w:id="37"/>
      </w:r>
      <w:r>
        <w:t xml:space="preserve">. Związki te zwróciły uwagę władz, które w obu koloniach starały się regulować kwestie rasy. W 1772 roku pewien komendant w Luizjanie zalecił odebranie Varangue młodej rdzennej dziewczynki, którą się opiekowała; poparł też uwięzienie jej samej i jej córki Babé za to, że nie zawierały małżeństw w sposób odpowiadający miejscowym władzom kościelnym. Krewnego tych kobiet, niejakiego M. Bonnite’a, zalecano deportować do Francji za narażanie „Indian na to, że staną się niesforni”. Skargi administracji na tych</w:t>
      </w:r>
      <w:r>
        <w:t xml:space="preserve"> </w:t>
      </w:r>
      <w:r>
        <w:rPr>
          <w:i/>
          <w:iCs/>
        </w:rPr>
        <w:t xml:space="preserve">Bohémiens</w:t>
      </w:r>
      <w:r>
        <w:t xml:space="preserve"> </w:t>
      </w:r>
      <w:r>
        <w:t xml:space="preserve">dotyczyły ich związków z ludźmi z plemion, co świadczy zarówno o dokonywanych przez nich wyborach społecznych, jak i o obawach, jakie te wybory budziły</w:t>
      </w:r>
      <w:r>
        <w:rPr>
          <w:rStyle w:val="FootnoteReference"/>
        </w:rPr>
        <w:footnoteReference w:id="38"/>
      </w:r>
      <w:r>
        <w:t xml:space="preserve">. Przedstawiciele władz kolonialnych, pragnący wzmocnić własną urasowioną władzę, mogli próbować manipulować matrycą rasową, rozdzielając tych, których ówczesne logiki rasowe umieściły blisko siebie. Choć skutki bywały różne, takie działania urzędowe niewątpliwie utrwalały i umacniały hierarchię skryptów rasowych.</w:t>
      </w:r>
    </w:p>
    <w:p>
      <w:pPr>
        <w:pStyle w:val="BodyText"/>
      </w:pPr>
      <w:r>
        <w:t xml:space="preserve">Inne świadectwa dowodzą, że wybory tych kobiet nie były wyjątkowe. Dwie Romki z Luizjany poślubiły wolnych kolorowych mężczyzn – jedna pod panowaniem francuskim w 1725 roku, druga pod panowaniem hiszpańskim w 1779 roku. Małżeństwo z 1725 roku między Marie Jacqueline Gaspart, „</w:t>
      </w:r>
      <w:r>
        <w:rPr>
          <w:i/>
          <w:iCs/>
        </w:rPr>
        <w:t xml:space="preserve">Bohemian</w:t>
      </w:r>
      <w:r>
        <w:t xml:space="preserve">”, a Jeanem Baptiste’em Raphaelem, „</w:t>
      </w:r>
      <w:r>
        <w:rPr>
          <w:i/>
          <w:iCs/>
        </w:rPr>
        <w:t xml:space="preserve">nègre libre</w:t>
      </w:r>
      <w:r>
        <w:t xml:space="preserve">”, było pierwszym oficjalnie usankcjonowanym małżeństwem międzyrasowym w kolonii. Specjalne zezwolenie potrzebne do zatwierdzenia tego małżeństwa wydano najpewniej tylko dlatego, że Gaspart była</w:t>
      </w:r>
      <w:r>
        <w:t xml:space="preserve"> </w:t>
      </w:r>
      <w:r>
        <w:rPr>
          <w:i/>
          <w:iCs/>
        </w:rPr>
        <w:t xml:space="preserve">Bohémienne</w:t>
      </w:r>
      <w:r>
        <w:t xml:space="preserve">. Nie są znane żadne przykłady białych Francuzek, które nie byłyby</w:t>
      </w:r>
      <w:r>
        <w:t xml:space="preserve"> </w:t>
      </w:r>
      <w:r>
        <w:rPr>
          <w:i/>
          <w:iCs/>
        </w:rPr>
        <w:t xml:space="preserve">Bohémiennes</w:t>
      </w:r>
      <w:r>
        <w:t xml:space="preserve">, a które (oficjalnie lub zwyczajowo) poślubiłyby rdzennego mężczyznę lub mężczyznę pochodzenia afrykańskiego gdziekolwiek we wczesnym francuskim świecie atlantyckim. Regulowanie seksualności, zwłaszcza intymnych spraw kobiet, miało zasadnicze znaczenie dla strukturyzowania rasy w imperiach europejskich. Zarówno przyznawanie, jak i ograniczanie możliwości intymnych było sposobem urasawiania władzy. To, że</w:t>
      </w:r>
      <w:r>
        <w:t xml:space="preserve"> </w:t>
      </w:r>
      <w:r>
        <w:rPr>
          <w:i/>
          <w:iCs/>
        </w:rPr>
        <w:t xml:space="preserve">Bohémiennes</w:t>
      </w:r>
      <w:r>
        <w:t xml:space="preserve"> </w:t>
      </w:r>
      <w:r>
        <w:t xml:space="preserve">mogły otrzymywać możliwości intymne, których nie miały inne Francuzki, i z nich korzystać, odsłania splot ideologii i doświadczenia urasowienia, który wpływał na ich życie</w:t>
      </w:r>
      <w:r>
        <w:rPr>
          <w:rStyle w:val="FootnoteReference"/>
        </w:rPr>
        <w:footnoteReference w:id="39"/>
      </w:r>
      <w:r>
        <w:t xml:space="preserve">. Również romscy mężczyźni żenili się w kolonii luizjańskiej z rdzennymi kobietami i z wolnymi kolorowymi kobietami. Relacja z 1802 roku opisywała niektórych z nich, pracujących jako szkutnicy na potrzeby żeglugi przybrzeżnej, jako „leniwych”, mających „niewiele ambicji”, lecz „szczęśliwych”, żyjących „w zupełnym spokoju”. Trudność tej pracy, tak istotnej dla przedsięwzięcia kolonialnego, sugeruje, że ocena ich charakteru wynikała z ich bliskości z ludnością rdzenną lub z antycygańskich stereotypów, a nie z rzeczywistości ich pracy</w:t>
      </w:r>
      <w:r>
        <w:rPr>
          <w:rStyle w:val="FootnoteReference"/>
        </w:rPr>
        <w:footnoteReference w:id="40"/>
      </w:r>
      <w:r>
        <w:t xml:space="preserve">.</w:t>
      </w:r>
    </w:p>
    <w:p>
      <w:pPr>
        <w:pStyle w:val="BodyText"/>
      </w:pPr>
      <w:r>
        <w:t xml:space="preserve">Skargi na to, kto z kim się zadaje, mogły też ukazywać</w:t>
      </w:r>
      <w:r>
        <w:t xml:space="preserve"> </w:t>
      </w:r>
      <w:r>
        <w:rPr>
          <w:i/>
          <w:iCs/>
        </w:rPr>
        <w:t xml:space="preserve">Bohémiens</w:t>
      </w:r>
      <w:r>
        <w:t xml:space="preserve"> </w:t>
      </w:r>
      <w:r>
        <w:t xml:space="preserve">w dwuznacznych pozycjach rasowych, co świadczy o niepewnym nakładaniu się treści i kategorii rasowych, do jakiego mogła prowadzić matryca generatywna. Kiedy zimą 1744 roku gubernator Luizjany Pierre Vaudreuil wymusił dymisję białego francuskiego chorążego „za prowadzenie nikczemnego życia z Murzynami i</w:t>
      </w:r>
      <w:r>
        <w:t xml:space="preserve"> </w:t>
      </w:r>
      <w:r>
        <w:rPr>
          <w:i/>
          <w:iCs/>
        </w:rPr>
        <w:t xml:space="preserve">Bohémiens</w:t>
      </w:r>
      <w:r>
        <w:t xml:space="preserve">”, ujawnił własne wyobrażenia o tym, co znaczyło być Francuzem i być białym</w:t>
      </w:r>
      <w:r>
        <w:rPr>
          <w:rStyle w:val="FootnoteReference"/>
        </w:rPr>
        <w:footnoteReference w:id="41"/>
      </w:r>
      <w:r>
        <w:t xml:space="preserve">. Przykład ten ukazuje również wybory społeczne niektórych kolonistów – białych,</w:t>
      </w:r>
      <w:r>
        <w:t xml:space="preserve"> </w:t>
      </w:r>
      <w:r>
        <w:rPr>
          <w:i/>
          <w:iCs/>
        </w:rPr>
        <w:t xml:space="preserve">Bohémiens</w:t>
      </w:r>
      <w:r>
        <w:t xml:space="preserve"> </w:t>
      </w:r>
      <w:r>
        <w:t xml:space="preserve">i czarnych: dotrzymywali sobie towarzystwa, nawet gdy ściągało to na nich podejrzenia. Grupowanie odrębnych kategorii w obrębie białosupremacyjnej hierarchii zagęszczało „cygańską zasłonę” i zapewniało jej trwałą doniosłość – pojęciową i doświadczeniową.</w:t>
      </w:r>
    </w:p>
    <w:p>
      <w:pPr>
        <w:pStyle w:val="BodyText"/>
      </w:pPr>
      <w:r>
        <w:t xml:space="preserve">Mimo tych przykładów</w:t>
      </w:r>
      <w:r>
        <w:t xml:space="preserve"> </w:t>
      </w:r>
      <w:r>
        <w:rPr>
          <w:i/>
          <w:iCs/>
        </w:rPr>
        <w:t xml:space="preserve">Bohémiens</w:t>
      </w:r>
      <w:r>
        <w:t xml:space="preserve"> </w:t>
      </w:r>
      <w:r>
        <w:t xml:space="preserve">utrzymujących kontakty z rdzennymi i czarnymi mieszkańcami Luizjany wybory takie były, jak się zdaje, wyjątkiem. Większość</w:t>
      </w:r>
      <w:r>
        <w:t xml:space="preserve"> </w:t>
      </w:r>
      <w:r>
        <w:rPr>
          <w:i/>
          <w:iCs/>
        </w:rPr>
        <w:t xml:space="preserve">Bohémiens</w:t>
      </w:r>
      <w:r>
        <w:t xml:space="preserve"> </w:t>
      </w:r>
      <w:r>
        <w:t xml:space="preserve">z Luizjany, których da się zidentyfikować, wybierała najwyraźniej towarzystwo innych</w:t>
      </w:r>
      <w:r>
        <w:t xml:space="preserve"> </w:t>
      </w:r>
      <w:r>
        <w:rPr>
          <w:i/>
          <w:iCs/>
        </w:rPr>
        <w:t xml:space="preserve">Bohémiens</w:t>
      </w:r>
      <w:r>
        <w:t xml:space="preserve"> </w:t>
      </w:r>
      <w:r>
        <w:t xml:space="preserve">albo białych francuskich kolonistów spoza ich grona. Coraz większe ograniczenia nakładane na ludność rdzenną i wolnych kolorowych skłaniały</w:t>
      </w:r>
      <w:r>
        <w:t xml:space="preserve"> </w:t>
      </w:r>
      <w:r>
        <w:rPr>
          <w:i/>
          <w:iCs/>
        </w:rPr>
        <w:t xml:space="preserve">Bohémiens</w:t>
      </w:r>
      <w:r>
        <w:t xml:space="preserve"> </w:t>
      </w:r>
      <w:r>
        <w:t xml:space="preserve">do dystansowania się od niepożądanego statusu, do którego mogliby zostać zaliczeni, i do sytuowania się, jeśli tylko mogli, jako biali. Ostatni przykład z francuskiego świata atlantyckiego ilustruje to dążenie.</w:t>
      </w:r>
    </w:p>
    <w:p>
      <w:pPr>
        <w:pStyle w:val="BodyText"/>
      </w:pPr>
      <w:r>
        <w:t xml:space="preserve">Słowa podyktowane w 1743 roku przez Jeana Baptiste’a „La Chaume’a” Chevaliera – jedynego znanego kolonisty spośród</w:t>
      </w:r>
      <w:r>
        <w:t xml:space="preserve"> </w:t>
      </w:r>
      <w:r>
        <w:rPr>
          <w:i/>
          <w:iCs/>
        </w:rPr>
        <w:t xml:space="preserve">Bohémiens</w:t>
      </w:r>
      <w:r>
        <w:t xml:space="preserve">, którego przemyślenia na temat rasy zostały zapisane – odsłaniają jego zniuansowane rozumienie kolonialnego urasowionego porządku społecznego i niepewność co do własnego w nim miejsca. W 1741 roku ten świeżo przybyły żołnierz został skazany za dezercję i ukarany pracą przymusową. Po bójce w domostwie, w którym się nad nim znęcano, wezwano zniewolonego Afrykanina, aby związał La Chaume’a przed wymierzeniem kary cielesnej. Uświadomiwszy sobie, co go czeka, La Chaume zadał sobie cios nożem, ponieważ, jak to ujął, „nie zasłużył na to, by źle go traktowali jacyś czarni”. Odwrócenie władzy rasowej w tej karze niosło przesłanie, które La Chaume odczuł dotkliwie. To, że miał „podlegać rozkazom Murzyna”, a nie swego białego przełożonego, było, jak to ujął, oburzającym afrontem wobec jego wyobrażenia o tym, jak powinien być traktowany. Swoimi czynami i słowami La Chaume dał wyraz uwewnętrznieniu kolonialnego porządku rasowego i swoich założeń o własnym w nim miejscu. Oczekiwał dostępu do przywilejów białości, co oznaczało dla niego uniknięcie kary z rąk czarnych. Wysuwając to roszczenie, La Chaume stabilizował rasę i ściślej wiązał ze sobą odrębne wyobrażenia o odmienności</w:t>
      </w:r>
      <w:r>
        <w:rPr>
          <w:rStyle w:val="FootnoteReference"/>
        </w:rPr>
        <w:footnoteReference w:id="42"/>
      </w:r>
      <w:r>
        <w:t xml:space="preserve">.</w:t>
      </w:r>
    </w:p>
    <w:p>
      <w:pPr>
        <w:pStyle w:val="Heading1"/>
      </w:pPr>
      <w:r>
        <w:t xml:space="preserve">4. ATLANTYK ANGLOSASKI</w:t>
      </w:r>
    </w:p>
    <w:p>
      <w:pPr>
        <w:pStyle w:val="FirstParagraph"/>
      </w:pPr>
      <w:r>
        <w:t xml:space="preserve">Również angielscy kolonizatorzy od początku swojego projektu imperialnego posługiwali się jako punktem odniesienia Romami, nazywanymi „Egipcjanami” (</w:t>
      </w:r>
      <w:r>
        <w:rPr>
          <w:i/>
          <w:iCs/>
        </w:rPr>
        <w:t xml:space="preserve">Egyptians</w:t>
      </w:r>
      <w:r>
        <w:t xml:space="preserve">) albo „Cyganami” (</w:t>
      </w:r>
      <w:r>
        <w:rPr>
          <w:i/>
          <w:iCs/>
        </w:rPr>
        <w:t xml:space="preserve">Gipsies</w:t>
      </w:r>
      <w:r>
        <w:t xml:space="preserve">/</w:t>
      </w:r>
      <w:r>
        <w:rPr>
          <w:i/>
          <w:iCs/>
        </w:rPr>
        <w:t xml:space="preserve">Gypsies</w:t>
      </w:r>
      <w:r>
        <w:t xml:space="preserve">). Dwaj purytańscy założyciele kolonii Plymouth, Edward Winslow i William Bradford, opublikowali w 1622 roku w Londynie relację o założeniu kolonii, aby przyciągnąć przyszłe inwestycje i emigrantów. Autorzy nadawali w niej sens tym, których nazywali „dzikimi”, opisując ich jako „tej samej cery co nasi angielscy Cyganie”</w:t>
      </w:r>
      <w:r>
        <w:rPr>
          <w:rStyle w:val="FootnoteReference"/>
        </w:rPr>
        <w:footnoteReference w:id="43"/>
      </w:r>
      <w:r>
        <w:t xml:space="preserve">. Po latach William Penn, założyciel kolonii Pensylwanii, zauważył podobnie w broszurze zachęcającej do osadnictwa, wydanej w 1686 roku i rozpowszechnianej w całej Anglii:</w:t>
      </w:r>
      <w:commentRangeStart w:id="2"/>
      <w:commentRangeEnd w:id="2"/>
      <w:r>
        <w:rPr>
          <w:rStyle w:val="CommentReference"/>
        </w:rPr>
        <w:commentReference w:id="2"/>
      </w:r>
      <w:r>
        <w:t xml:space="preserve"> </w:t>
      </w:r>
      <w:r>
        <w:t xml:space="preserve">„Tubylcy są na ogół wysocy, prości, dobrze zbudowani; cery czarnej, lecz z rozmysłu, jak Cyganie w Anglii. Nacierają się oczyszczonym tłuszczem niedźwiedzim, a że nie chronią się niczym przed słońcem ani niepogodą, skóra ich musi być śniada”</w:t>
      </w:r>
      <w:r>
        <w:rPr>
          <w:rStyle w:val="FootnoteReference"/>
        </w:rPr>
        <w:footnoteReference w:id="44"/>
      </w:r>
      <w:r>
        <w:t xml:space="preserve">. W tym interesującym komentarzu Penn sugeruje, że obie grupy mają w sobie potencjał odkupienia od rzekomej dzikości – ich cera była bowiem nadana przez nich samych, a zatem mogła się zmienić. Europejskie siły cywilizacyjne – dobrze ubrane i białe – mogły z pożytkiem oddziaływać na oba ludy. Już sto lat wcześniej prawa Tudorów kryminalizowały w Anglii „fałszywych Egipcjan”, oskarżanych o przyciemnianie skóry w ramach oszustwa. To, że ludzie fałszywie podawali się za członków wczesnonowożytnej społeczności angielskich Romów, było powszechnie przyjętym założeniem, wzmacnianym przez literaturę i dramat</w:t>
      </w:r>
      <w:r>
        <w:rPr>
          <w:rStyle w:val="FootnoteReference"/>
        </w:rPr>
        <w:footnoteReference w:id="45"/>
      </w:r>
      <w:r>
        <w:t xml:space="preserve">. Kiedy Penn odnotował, że widział wśród tubylców „kobiety urodziwe, jak niektóre Cyganki w Anglii”</w:t>
      </w:r>
      <w:r>
        <w:rPr>
          <w:rStyle w:val="FootnoteReference"/>
        </w:rPr>
        <w:footnoteReference w:id="46"/>
      </w:r>
      <w:r>
        <w:t xml:space="preserve">, czynił to w kontekście złożonego zespołu dobrze ugruntowanych antycygańskich praw, postaw i założeń. Na interpretację zmienności zewnętrznych oznak odmienności i możliwości szerzenia europejskiej cywilizacji mogła u Penna wpływać także nadzieja, że Lenape dobrowolnie przejdą na angielski sposób życia, co pozwoliłoby jego kolonii rozwijać się zgodnie z jego kwakierskim pacyfizmem</w:t>
      </w:r>
      <w:r>
        <w:rPr>
          <w:rStyle w:val="FootnoteReference"/>
        </w:rPr>
        <w:footnoteReference w:id="47"/>
      </w:r>
      <w:r>
        <w:t xml:space="preserve">.</w:t>
      </w:r>
    </w:p>
    <w:p>
      <w:pPr>
        <w:pStyle w:val="BodyText"/>
      </w:pPr>
      <w:r>
        <w:t xml:space="preserve">Te szeroko rozpowszechniane publikacje zapewniały takim powiązanym ze sobą sposobom myślenia szeroki obieg. Praktyki urasawiania wyraźnie wykraczały poza Amerykę Północną, sięgając w głąb całego anglosaskiego świata atlantyckiego, a nawet dalej</w:t>
      </w:r>
      <w:r>
        <w:rPr>
          <w:rStyle w:val="FootnoteReference"/>
        </w:rPr>
        <w:footnoteReference w:id="48"/>
      </w:r>
      <w:r>
        <w:t xml:space="preserve">. Podobnie jak w Hiszpanii rdzenni mieszkańcy Ameryki pojawiający się poza swoim kontekstem wywoływali zamieszanie, mogło ono dotykać także obserwatorów angielskich. Wyraża się to w</w:t>
      </w:r>
      <w:r>
        <w:t xml:space="preserve"> </w:t>
      </w:r>
      <w:r>
        <w:rPr>
          <w:i/>
          <w:iCs/>
        </w:rPr>
        <w:t xml:space="preserve">The Jamaica Lady</w:t>
      </w:r>
      <w:r>
        <w:t xml:space="preserve"> </w:t>
      </w:r>
      <w:r>
        <w:t xml:space="preserve">(Dama z Jamajki), anonimowej powieści wydanej w 1720 roku w Londynie. Jej bohaterka, Holmesia, „sama</w:t>
      </w:r>
      <w:r>
        <w:t xml:space="preserve"> </w:t>
      </w:r>
      <w:r>
        <w:rPr>
          <w:i/>
          <w:iCs/>
        </w:rPr>
        <w:t xml:space="preserve">Kreolka</w:t>
      </w:r>
      <w:r>
        <w:t xml:space="preserve">, a zatem bladożółtej cery […] [mówiła] […] pewnym żargonem, będącym dialektem właściwym Tubylcom tej wyspy, po części angielskim, a po części murzyńskim”. W jednej ze scen wypytywała londyńczyka, który „patrząc na nią, sądził po jej wyglądzie i jej szwargocie, że to Cyganka”</w:t>
      </w:r>
      <w:r>
        <w:rPr>
          <w:rStyle w:val="FootnoteReference"/>
        </w:rPr>
        <w:footnoteReference w:id="49"/>
      </w:r>
      <w:r>
        <w:t xml:space="preserve">. Posługiwanie się barwą skóry i dialektem do wytyczania i znaczenia granic grupowych, przy jednoczesnym wiązaniu grup ze sobą, na nowo komponowało matrycę, która łączyła i powielała Anglików, czarnych i Romów.</w:t>
      </w:r>
    </w:p>
    <w:p>
      <w:pPr>
        <w:pStyle w:val="BodyText"/>
      </w:pPr>
      <w:r>
        <w:t xml:space="preserve">Dwaj osiemnastowieczni niemieccy imigranci pietyści w brytyjskiej Ameryce Północnej ponownie powiązali transatlantycką matrycę rasową ze środkowoeuropejską myślą antycygańską. Pierwszy z nich, Johann Bolzius, który przewodził pierwszej grupie imigrantów salzburskich w Georgii, doczekał się publikacji swojego opisu tego regionu z 1751 roku jako zachęcającej do osadnictwa relacji podróżniczej w Niemczech. Opisał w nim, jak tubylcy, „którzy czasem włóczą się po naszych okolicach, nie są lepsi od</w:t>
      </w:r>
      <w:r>
        <w:t xml:space="preserve"> </w:t>
      </w:r>
      <w:r>
        <w:rPr>
          <w:i/>
          <w:iCs/>
        </w:rPr>
        <w:t xml:space="preserve">Zigeuner</w:t>
      </w:r>
      <w:r>
        <w:t xml:space="preserve"> </w:t>
      </w:r>
      <w:r>
        <w:t xml:space="preserve">w niektórych miejscach Niemiec, [są] bardzo oddani pijaństwu i innym występkom, kradną konie z pastwisk, a czasem zabijają strzałem woły i krowy dla kawałka mięsa albo dla dzwonka wiszącego im u szyi”</w:t>
      </w:r>
      <w:r>
        <w:rPr>
          <w:rStyle w:val="FootnoteReference"/>
        </w:rPr>
        <w:footnoteReference w:id="50"/>
      </w:r>
      <w:r>
        <w:t xml:space="preserve">. Henry Melchior Mühlenberg, misjonarz w Pensylwanii, zestawił Afroamerykanów z Romami w raporcie z 1774 roku ze wspólnoty Bolziusa. Ostrzegał, że nawet czarni, którzy przyjęli chrześcijaństwo, „zachowują swą dziką złośliwość i przebiegłą chytrość, jak Cyganie w Europie”</w:t>
      </w:r>
      <w:r>
        <w:rPr>
          <w:rStyle w:val="FootnoteReference"/>
        </w:rPr>
        <w:footnoteReference w:id="51"/>
      </w:r>
      <w:r>
        <w:t xml:space="preserve">. Treść tych skryptów, definiowanych przez zachowanie, sprzyjała zarówno bliskości, jak i dystansowi w ramach hierarchii rasowej. Poniżając Romów obok rdzennych Amerykanów i Afroamerykanów, komentatorzy konstruowali własne wyniosłe poczucie europejskiej białości i rościli sobie do niego prawo.</w:t>
      </w:r>
    </w:p>
    <w:p>
      <w:pPr>
        <w:pStyle w:val="BodyText"/>
      </w:pPr>
      <w:r>
        <w:t xml:space="preserve">Rzeczywiści Romowie, którzy przemierzali brytyjski Atlantyk, radzili sobie z tym płaszczem założeń, jak umieli. Trzej członkowie rodziny angielskich Romów, Joseph, William i John Smithowie, zostali w 1767 roku „zesłani dożywotnio” do Marylandu, gdy uznano ich winnymi kradzieży i zabicia trzech jagniąt. Zaledwie kilka tygodni po przybyciu wspólnie zbiegli z huty żelaza, do której sprzedano ich jako robotników przymusowych na siedem lat. Ogłoszenie prasowe zamieszczone w celu ich zidentyfikowania i schwytania zaczynało się od zestawienia rasowego: „Zbiegli w niedzielę wieczorem […] Joseph Smith, stary mężczyzna, Cygan, kolorem bardzo przypominający śniadego Mulata”. William, brat Josepha, był „prawie tego samego koloru”, a John, syn Williama, „prawie tej samej cery co jego ojciec i stryj”. Choć posługiwanie się nazwami barw jako znakami ma własną historię w świecie anglojęzycznym, łączenie Romów z ludźmi określonego pochodzenia genealogicznego sytuowało ich retorycznie, pojęciowo i praktycznie obok innych, nie całkiem białych ludzi w koloniach. Czyniąc tak, autor ogłoszenia relacyjnie skryptował rasę</w:t>
      </w:r>
      <w:r>
        <w:rPr>
          <w:rStyle w:val="FootnoteReference"/>
        </w:rPr>
        <w:footnoteReference w:id="52"/>
      </w:r>
      <w:r>
        <w:t xml:space="preserve">.</w:t>
      </w:r>
    </w:p>
    <w:p>
      <w:pPr>
        <w:pStyle w:val="BodyText"/>
      </w:pPr>
      <w:r>
        <w:t xml:space="preserve">Pokolenie po przejściach Smithów biali ustawodawcy w sąsiednim stanie Wirginia rozpatrywali Romów obok „Murzynów i Mulatów”. Uchylenie w 1792 roku ustawy z 1736 roku, która wygnała Romów z Wirginii, starannie odróżniało Romów od czarnych, stwierdzając, że choć „Egipcjanom albo Cyganom” nie zakazuje się już przebywania w stanie, „migracja wolnych Murzynów i Mulatów” pozostaje nielegalna</w:t>
      </w:r>
      <w:r>
        <w:rPr>
          <w:rStyle w:val="FootnoteReference"/>
        </w:rPr>
        <w:footnoteReference w:id="53"/>
      </w:r>
      <w:r>
        <w:t xml:space="preserve">. To, że biali ustawodawcy Wirginii podkreślali odrębność Romów w świetle prawa od wolnych ludzi kolorowych, pokazuje, że wszystkie trzy grupy rozpatrywano łącznie, nawet gdy rozdzielano ich przywileje.</w:t>
      </w:r>
    </w:p>
    <w:p>
      <w:pPr>
        <w:pStyle w:val="BodyText"/>
      </w:pPr>
      <w:r>
        <w:t xml:space="preserve">Relacyjne urasawianie Romów przebiegało też w sposób mniej instrumentalny, w miarę jak brytyjskie formy kulturowe krążyły po Atlantyku. Natura matrycy tłumaczy zarówno dobrze ugruntowane konfiguracje hegemoniczne, jak i możliwości słabsze, a nawet uśpione. Toteż przejawy skryptów ułatwiały przesunięcia między formami. Można to zilustrować przetworzeniem powieści</w:t>
      </w:r>
      <w:r>
        <w:t xml:space="preserve"> </w:t>
      </w:r>
      <w:r>
        <w:rPr>
          <w:i/>
          <w:iCs/>
        </w:rPr>
        <w:t xml:space="preserve">Guy Mannering czyli Astrolog</w:t>
      </w:r>
      <w:r>
        <w:t xml:space="preserve"> </w:t>
      </w:r>
      <w:r>
        <w:t xml:space="preserve">(</w:t>
      </w:r>
      <w:r>
        <w:rPr>
          <w:i/>
          <w:iCs/>
        </w:rPr>
        <w:t xml:space="preserve">Guy Mannering; or, The Astrologer</w:t>
      </w:r>
      <w:r>
        <w:t xml:space="preserve">) w kontekście północnoamerykańskim. Utwory Waltera Scotta cieszyły się ogromną popularnością wśród publiczności amerykańskiej, pragnącej uczestniczyć w anglosaskiej „światowej republice literatury”</w:t>
      </w:r>
      <w:r>
        <w:rPr>
          <w:rStyle w:val="FootnoteReference"/>
        </w:rPr>
        <w:footnoteReference w:id="54"/>
      </w:r>
      <w:r>
        <w:t xml:space="preserve"> </w:t>
      </w:r>
      <w:r>
        <w:t xml:space="preserve">i nawiązywać więzi „ponad granicami narodów”</w:t>
      </w:r>
      <w:r>
        <w:rPr>
          <w:rStyle w:val="FootnoteReference"/>
        </w:rPr>
        <w:footnoteReference w:id="55"/>
      </w:r>
      <w:r>
        <w:t xml:space="preserve">. Główna postać, Meg Merrilies, potężna Romka, pozwoliła Scottowi skomentować mnóstwo tematów. Należała do „plemienia”, którego członkowie jako „pariasi Szkocji, żyjący jak dzicy Indianie pośród europejskich osadników”, byli oddzieleni „własnymi obyczajami, nawykami i przekonaniami” od „członków ucywilizowanej [</w:t>
      </w:r>
      <w:r>
        <w:rPr>
          <w:i/>
          <w:iCs/>
        </w:rPr>
        <w:t xml:space="preserve">sic</w:t>
      </w:r>
      <w:r>
        <w:t xml:space="preserve">] części społeczności”</w:t>
      </w:r>
      <w:r>
        <w:rPr>
          <w:rStyle w:val="FootnoteReference"/>
        </w:rPr>
        <w:footnoteReference w:id="56"/>
      </w:r>
      <w:r>
        <w:t xml:space="preserve">. W ślad za popularnością Scotta angielska pisarka Barbara Hofland opublikowała w 1830 roku w Nowym Jorku</w:t>
      </w:r>
      <w:r>
        <w:t xml:space="preserve"> </w:t>
      </w:r>
      <w:r>
        <w:rPr>
          <w:i/>
          <w:iCs/>
        </w:rPr>
        <w:t xml:space="preserve">The Stolen Boy, an Indian Tale</w:t>
      </w:r>
      <w:r>
        <w:t xml:space="preserve"> </w:t>
      </w:r>
      <w:r>
        <w:t xml:space="preserve">(Porwany chłopiec. Opowieść indiańska). Ta książka dla dzieci przedstawia amerykańską wersję</w:t>
      </w:r>
      <w:r>
        <w:t xml:space="preserve"> </w:t>
      </w:r>
      <w:r>
        <w:rPr>
          <w:i/>
          <w:iCs/>
        </w:rPr>
        <w:t xml:space="preserve">Guya Manneringa</w:t>
      </w:r>
      <w:r>
        <w:t xml:space="preserve">, w której romskie postaci przeniesiono w realia rdzennych Amerykanów. W pierwszych zdaniach opowieści Hofland „hiszpański” chłopiec mieszkający na teksańskim pograniczu pyta ojca o „najdziwniejszych ludzi, jakich kiedykolwiek widziano, którzy siedzą naprzeciwko ogrodu. To nie Cyganie, jakich widywaliśmy w Hiszpanii, ale wyglądają na wędrowców jak oni i żyją pod gołym niebem”. Książka stanowi mieszankę stereotypów, w tym odniesień do kanibalizmu, porywania ludzi i złodziejstwa. Zabezpieczanie i potwierdzanie władzy białości – a nawet europejskości – na amerykańskim pograniczu dokonywało się przez grupowanie i poniżanie rdzennych mieszkańców i Romów jako części jednej całości</w:t>
      </w:r>
      <w:r>
        <w:rPr>
          <w:rStyle w:val="FootnoteReference"/>
        </w:rPr>
        <w:footnoteReference w:id="57"/>
      </w:r>
      <w:r>
        <w:t xml:space="preserve">.</w:t>
      </w:r>
    </w:p>
    <w:p>
      <w:pPr>
        <w:pStyle w:val="BodyText"/>
      </w:pPr>
      <w:r>
        <w:t xml:space="preserve">Choć to literackie powiązanie świadczy o ideologicznym istnieniu transatlantyckiej „cygańskiej zasłony”, pojęcia takie nigdy nie funkcjonowały w oderwaniu od praktycznego zastosowania. Przeżyte doświadczenia zarówno Romów, jak i nie-Romów krążyły wraz z tymi pojęciami. W rezultacie ci, którzy mieli styczność z tą matrycą rasową, zaczęli oczekiwać od Romów amerykańskich określonych rzeczy. W artykule z filadelfijskiej „National Gazette” z 1834 roku (przedrukowanym także gdzie indziej) anonimowy autor objaśnia swoją wiedzę o Romach amerykańskich, opierając się na literackim „Cyganie”. Widział „wielu członków bandy Cyganów, zajmujących kawałek nieużytków” w pobliżu Kinderhook w stanie Nowy Jork, którzy „mają rysy, cerę i obyczaje charakterystyczne dla Cyganów z książek”</w:t>
      </w:r>
      <w:r>
        <w:rPr>
          <w:rStyle w:val="FootnoteReference"/>
        </w:rPr>
        <w:footnoteReference w:id="58"/>
      </w:r>
      <w:r>
        <w:t xml:space="preserve">. Kiedy inny autor porównał grupę kąpiących się białych mężczyzn z „na wpół oswojonymi Indianami”, powiązał to z „żywym wyobrażeniem o Cyganach, jak się ich przedstawia w obrazkowych książeczkach dla dzieci”</w:t>
      </w:r>
      <w:r>
        <w:rPr>
          <w:rStyle w:val="FootnoteReference"/>
        </w:rPr>
        <w:footnoteReference w:id="59"/>
      </w:r>
      <w:r>
        <w:t xml:space="preserve">. Powiązania i przecieki między faktem a fikcją zagęszczały ciasno utkaną transatlantycką matrycę rasową, umacnianą przez skojarzenia, jakie Romowie budzili w umysłach nie-Romów.</w:t>
      </w:r>
    </w:p>
    <w:p>
      <w:pPr>
        <w:pStyle w:val="BodyText"/>
      </w:pPr>
      <w:r>
        <w:t xml:space="preserve">„Cygańska zasłona”, utkana przez transatlantycką matrycę rasową, rozpościerała się we wczesnych Stanach Zjednoczonych równie subtelnie jak gdzie indziej. W 1810 roku burmistrz Nowego Jorku De Witt Clinton opisał w środkowej części tego stanu „obozowisko Indian wyrabiających miotły i kosze […]. Ci Indianie są dziś Cyganami naszego kraju”</w:t>
      </w:r>
      <w:r>
        <w:rPr>
          <w:rStyle w:val="FootnoteReference"/>
        </w:rPr>
        <w:footnoteReference w:id="60"/>
      </w:r>
      <w:r>
        <w:t xml:space="preserve">. Relacje prasowe posługiwały się Romami i rdzennymi mieszkańcami, aby objaśniać czytelnikom jednych przez drugich. Stałe odwoływanie się do opisów mieszkań, mobilnych sposobów zarobkowania, drobnego handlu, ubioru i cech fizycznych malowało dwa ludy jednym pędzlem</w:t>
      </w:r>
      <w:r>
        <w:rPr>
          <w:rStyle w:val="FootnoteReference"/>
        </w:rPr>
        <w:footnoteReference w:id="61"/>
      </w:r>
      <w:r>
        <w:t xml:space="preserve">. Pewien autor przypuszczał nawet, że skoro mają ze sobą tak wiele wspólnego – jedni i drudzy są „nieposkromieni: pierwsi to dzicy ludzie krajów cywilizowanych, drudzy – lasu” – zaczną się w Amerykach mieszać, a Romowie dosłownie zastąpią rdzennych mieszkańców Ameryki i osiądą w ich porzuconych wigwamach</w:t>
      </w:r>
      <w:r>
        <w:rPr>
          <w:rStyle w:val="FootnoteReference"/>
        </w:rPr>
        <w:footnoteReference w:id="62"/>
      </w:r>
      <w:r>
        <w:t xml:space="preserve">.</w:t>
      </w:r>
    </w:p>
    <w:p>
      <w:pPr>
        <w:pStyle w:val="BodyText"/>
      </w:pPr>
      <w:r>
        <w:t xml:space="preserve">Niektórzy rdzenni Amerykanie sami myśleli o Romach i za ich pośrednictwem, lecz w zupełnie innym kontekście. W 1828 roku „Cherokee Phoenix”, dwujęzyczna gazeta w językach angielskim i tsalagi, przedrukowała krótkie streszczenie dzieła nieznanego pochodzenia, zatytułowane przez redaktorów</w:t>
      </w:r>
      <w:r>
        <w:t xml:space="preserve"> </w:t>
      </w:r>
      <w:r>
        <w:rPr>
          <w:i/>
          <w:iCs/>
        </w:rPr>
        <w:t xml:space="preserve">Gypsies in England</w:t>
      </w:r>
      <w:r>
        <w:t xml:space="preserve"> </w:t>
      </w:r>
      <w:r>
        <w:t xml:space="preserve">(Cyganie w Anglii). Wybrany przez redaktorów fragment znamiennie zaczyna się od opisu wzrostu liczebności angielskich Romów – faktu, który mógł zainteresować ludy plemienne świadome przepowiedni dotyczących ich własnego wymierania. Wyrażona w nim perspektywa rasowa również musiała znaleźć oddźwięk. Choć o angielskich Romach pisze się tam, że zarabiają na życie „oszustwem, kradzieżą, rozbojem albo jakimś rodzajem przestępstwa”, czynią to tylko dlatego, że „w istocie nie mają innego wyjścia […]. Takie bowiem są uprzedzenia wobec nich, że nie mogą znaleźć żadnego szanowanego zajęcia”. Współczujący ton utrzymuje się dalej: „zdradzają ich same ich twarze: oblicze Cygana rozpoznaje się w Anglii niemal równie łatwo jak oblicze Murzyna. Być może angielscy Cyganie są jedynym ludem na świecie, który rodzi się pod okrutnym wyrokiem zatracenia – Godny zazdrości jest doprawdy los nagiego dzikusa w porównaniu z losem naszych Cyganów”</w:t>
      </w:r>
      <w:r>
        <w:rPr>
          <w:rStyle w:val="FootnoteReference"/>
        </w:rPr>
        <w:footnoteReference w:id="63"/>
      </w:r>
      <w:r>
        <w:t xml:space="preserve">. Można się zastanawiać, czy czirokescy redaktorzy i czytelnicy nie wyczuwali w położeniu angielskich Romów wspólnoty prób i utrapień w obliczu postaw i działań białych, niezależnie od urasowionych założeń osadzonych w tej narracji.</w:t>
      </w:r>
    </w:p>
    <w:p>
      <w:pPr>
        <w:pStyle w:val="BodyText"/>
      </w:pPr>
      <w:r>
        <w:t xml:space="preserve">Rozważając położenie Romów, czirokescy redaktorzy dodali kolejną warstwę do gęstniejącej matrycy rasowej. Igranie z widmem znikającego Indianina łączyło doświadczenia rdzennych Amerykanów i Romów w sposób, który dostrzegali również inni. Widać to szczególnie w popularnej w XIX wieku relacji podróżniczej – gatunku sytuującym się na pograniczu piśmiennictwa literackiego i etnograficznego, który „wytwarzał »resztę świata« dla europejskich odbiorców”</w:t>
      </w:r>
      <w:r>
        <w:rPr>
          <w:rStyle w:val="FootnoteReference"/>
        </w:rPr>
        <w:footnoteReference w:id="64"/>
      </w:r>
      <w:r>
        <w:t xml:space="preserve">. Gatunek ten urasawiał także rdzennych mieszkańców, czarnych i Romów jako część niebiałego wątku „cygańskiej zasłony”, by skontrastować ich z białą wrażliwością autorów. Zanim angielscy podróżnicy dotarli do Ameryki Północnej, poznali już ludność rdzenną za pośrednictwem literatury pisanej przez innych zza biurka. Bez względu na to, czy osobiście zetknęli się z rzeczywistymi Romami, z pewnością spotkali ich w literaturze brytyjskiej. Te literackie spotkania nastawiały turystyczne oczekiwania na widok „Indian podobnych do Cyganów”. „Bateria założeń i predyspozycji”, z jaką autorzy relacji podróżniczych podchodzili do tego gatunku, powielała oczekiwania zarówno autorów, jak i odbiorców</w:t>
      </w:r>
      <w:r>
        <w:rPr>
          <w:rStyle w:val="FootnoteReference"/>
        </w:rPr>
        <w:footnoteReference w:id="65"/>
      </w:r>
      <w:r>
        <w:t xml:space="preserve">. Spośród dziesiątek przykładów wystarczy przytoczyć kilka.</w:t>
      </w:r>
    </w:p>
    <w:p>
      <w:pPr>
        <w:pStyle w:val="BodyText"/>
      </w:pPr>
      <w:r>
        <w:t xml:space="preserve">Augustus John Foster, sekretarz brytyjskiego posła w Stanach Zjednoczonych, zauważył o pewnej delegacji Czikasawów z 1806 roku, że „z wyglądu bardzo przypominali Cyganów, mieli dokładnie ich kolor i ich proste czarne włosy – zwłaszcza pewien chłopiec miał bardzo czarne oczy”</w:t>
      </w:r>
      <w:r>
        <w:rPr>
          <w:rStyle w:val="FootnoteReference"/>
        </w:rPr>
        <w:footnoteReference w:id="66"/>
      </w:r>
      <w:r>
        <w:t xml:space="preserve">. Rok później angielski pisarz i malarz John Lambert, podróżując przez Kanadę i Stany Zjednoczone, obiecywał „pokazać światu europejskiemu” „z wiernością i prawdą” „cechy wyróżniające” Ameryki Północnej „[…] w ich naturalnych barwach”. W tym celu przybliżał czytelnikom rdzennych mieszkańców Ameryki, wskazując na ich „wielkie podobieństwo do wyrzuconej poza nawias rasy wędrownych Cyganów”</w:t>
      </w:r>
      <w:r>
        <w:rPr>
          <w:rStyle w:val="FootnoteReference"/>
        </w:rPr>
        <w:footnoteReference w:id="67"/>
      </w:r>
      <w:r>
        <w:t xml:space="preserve">. Inny angielski gość, piszący do „Niles Weekly Register”, porównał życie angielskich Romów z „życiem dzikich, których widziałem nad brzegami rzeki St. John w Nowym Brunszwiku, z tą różnicą, że ci drudzy zdobywają pożywienie polowaniem i rybołówstwem, a pierwsi – kradzieżą”</w:t>
      </w:r>
      <w:r>
        <w:rPr>
          <w:rStyle w:val="FootnoteReference"/>
        </w:rPr>
        <w:footnoteReference w:id="68"/>
      </w:r>
      <w:r>
        <w:t xml:space="preserve">.</w:t>
      </w:r>
    </w:p>
    <w:p>
      <w:pPr>
        <w:pStyle w:val="BodyText"/>
      </w:pPr>
      <w:r>
        <w:t xml:space="preserve">Praktyka ta trwała przez dziesięciolecia. Richard Longeville Vowell opisał w 1831 roku południowoamerykańskich</w:t>
      </w:r>
      <w:r>
        <w:t xml:space="preserve"> </w:t>
      </w:r>
      <w:r>
        <w:rPr>
          <w:i/>
          <w:iCs/>
        </w:rPr>
        <w:t xml:space="preserve">Chinganéros</w:t>
      </w:r>
      <w:r>
        <w:t xml:space="preserve"> </w:t>
      </w:r>
      <w:r>
        <w:t xml:space="preserve">jako „osobliwą rasę wędrownych kreolskich minstreli, których obyczaje, a nawet nazwa, uderzająco przypominają</w:t>
      </w:r>
      <w:r>
        <w:t xml:space="preserve"> </w:t>
      </w:r>
      <w:r>
        <w:rPr>
          <w:i/>
          <w:iCs/>
        </w:rPr>
        <w:t xml:space="preserve">Zingances</w:t>
      </w:r>
      <w:r>
        <w:t xml:space="preserve">, czyli Cyganów Wschodu”. Byli, jak pisał, dobrymi tancerzami i muzykami, a także wróżbitami i czarownikami</w:t>
      </w:r>
      <w:r>
        <w:rPr>
          <w:rStyle w:val="FootnoteReference"/>
        </w:rPr>
        <w:footnoteReference w:id="69"/>
      </w:r>
      <w:r>
        <w:t xml:space="preserve">. Podobnie w relacji znad brzegów jeziora Michigan Anglik Godfrey Vigne opisał, jak jego przewodnik, „pół Indianin, pół Kanadyjczyk”, zaprowadził go „w najciemniejszą część lasu”, aby zobaczył „indiańską uzdrowicielkę i wróżkę”. Początkowo zaciekawiony, rozczarował się, gdy się okazało, że „jej sposób bycia, jej język i treść tego, co mówiła, niczym nie różniły się od zwykłej angielskiej Cyganki. Potasowała brudną talię kart i opowiedziała mi o jasnej damie i ciemnej damie, o fałszywym przyjacielu i prawdziwym przyjacielu, o skarbie, który zostanie odnaleziony, i podróży, którą przyjdzie odbyć, z tym samym rozdziałem przypadków i rzeczy nieuniknionych”</w:t>
      </w:r>
      <w:r>
        <w:rPr>
          <w:rStyle w:val="FootnoteReference"/>
        </w:rPr>
        <w:footnoteReference w:id="70"/>
      </w:r>
      <w:r>
        <w:t xml:space="preserve">. Zakładając, że spotkanie to rzeczywiście się odbyło i nie było jedynie literackim ozdobnikiem zaczerpniętym zza „cygańskiej zasłony”, można się zastanawiać nad genealogią wróżb, które przepowiadała ta kobieta. W połowie stulecia takie teksty namnożyły się na tyle, że wywołały krytykę: „Podróżny, który z poetyckimi wyobrażeniami o amerykańskich Indianach po raz pierwszy widzi jednego z nich, owiniętego w koc, w karczmie z bali, nie mógłby być bardziej rozczarowany i upokorzony niż piszący te słowa, gdy po raz pierwszy ujrzał obozowisko Cyganów”</w:t>
      </w:r>
      <w:r>
        <w:rPr>
          <w:rStyle w:val="FootnoteReference"/>
        </w:rPr>
        <w:footnoteReference w:id="71"/>
      </w:r>
      <w:r>
        <w:t xml:space="preserve">.</w:t>
      </w:r>
    </w:p>
    <w:p>
      <w:pPr>
        <w:pStyle w:val="Heading1"/>
      </w:pPr>
      <w:r>
        <w:t xml:space="preserve">5. ZAKOŃCZENIE</w:t>
      </w:r>
    </w:p>
    <w:p>
      <w:pPr>
        <w:pStyle w:val="FirstParagraph"/>
      </w:pPr>
      <w:r>
        <w:t xml:space="preserve">Choć wyobrażenia o odmienności zmieniały się w ciągu epoki wczesnonowożytnej w sposób zarówno subtelny, jak i dramatyczny, gdy nieromscy Europejczycy myśleli o nowych dla siebie ludziach, ich percepcję zabarwiała romska patyna. Ta „cygańska zasłona” pomagała misjonarzom jezuickim pojmować, kształtować i kontrolować – za pomocą analogicznych porównań – ludność rdzenną, którą zamierzali nawracać i osiedlać w wioskach misyjnych. Pomagała francuskim i hiszpańskim urzędnikom porządkować i regulować ich domeny. Brytyjscy podróżnicy do Stanów Zjednoczonych patrzyli przez tę zasłonę, by nadać sens nowemu narodowi, zarazem znajomemu i obcemu. Jednocześnie praktyki te spajały poczucie europejskości w odpowiedzi na romskich sąsiadów, z których uczyniono swojskich obcych żyjących pośród nich. Zbieżności między wyobrażeniami wytworzonymi w toku tych odrębnych historii odsłaniają odcisk „cygańskiej zasłony” na atlantyckim myśleniu i rozumieniu. Na przestrzeni czterech stuleci i tylu samo kontynentów i imperiów nieromscy Europejczycy przeciwstawiali Romów, rdzennych mieszkańców i ludzi pochodzenia afrykańskiego sobie samym i wiązali ich z sobą, aby wytworzyć własne poczucie białości – kluczową cechę tej zasłony.</w:t>
      </w:r>
    </w:p>
    <w:p>
      <w:pPr>
        <w:pStyle w:val="BodyText"/>
      </w:pPr>
      <w:r>
        <w:t xml:space="preserve">Zasłona ta gęstniała albo może była tkana na nowo, jeszcze ściślej, za każdym razem, gdy nieromscy Europejczycy tworzyli powiązania z udziałem Romów. Tak konsekwentne powielanie nadawało tropom pewną ponadczasowość. Każde odwołanie do „Cyganów”, czynione w kontraście z innymi i z sobą samym, odtwarzało na nowo, raz po raz, ich niezmienny charakter, który można było następnie przeciwstawić postępowości europejskiej nowoczesności. Odnawiało ono także oczekiwanie – a czasem nawet otwarte wezwanie – ich zniknięcia, nawet jeśli wątpiono w możliwość ich asymilacji. Obok tego, a w istocie jako inny aspekt tego samego, wyłaniały się, rosły i stabilizowały „znikający Indianin” i „cywilizowany Europejczyk”. Ponownie ustabilizowana treść tych urasowionych tropów rozprzestrzeniała się w całym świecie atlantyckim i poza nim. To, że dziś podkreślamy antyczarność, białą supremację i logikę eliminacji wpisane w imperialne projekty atlantyckie, nie oznacza, że te pojęcia i praktyki kiedykolwiek funkcjonowały w oderwaniu od innych. Zróżnicowane i zmienne znaczenia przypisywane europejskości, białości, czarności i indiańskości można w pełni zrozumieć jedynie przez odsłonięcie śladów i rozplątanie powiązań tworzonych przez Romów i wokół nich. Transatlantycka „cygańska zasłona” wciąż okrywa współczesne myślenie; grubość tkaniny i ścisłość splotu utrudniają rozerwanie tych więzów.</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SROM" w:date="2026-01-01T00:00:00Z">
    <w:p>
      <w:pPr>
        <w:pStyle w:val="CommentText"/>
      </w:pPr>
      <w:r>
        <w:rPr>
          <w:rStyle w:val="CommentReference"/>
        </w:rPr>
        <w:annotationRef/>
      </w:r>
      <w:r>
        <w:t xml:space="preserve">DO SPRAWDZENIA (pytania D1): przypis 25 cytuje „De Cadiz a Veracruz en 1745” – 1747 czy 1745? Manuel Moreno Alonso to autor artykułu z 1983 r.; czyja to podróż (wydany diariusz)?</w:t>
      </w:r>
    </w:p>
  </w:comment>
  <w:comment w:id="2" w:author="SROM" w:date="2026-01-01T00:00:00Z">
    <w:p>
      <w:pPr>
        <w:pStyle w:val="CommentText"/>
      </w:pPr>
      <w:r>
        <w:rPr>
          <w:rStyle w:val="CommentReference"/>
        </w:rPr>
        <w:annotationRef/>
      </w:r>
      <w:r>
        <w:t xml:space="preserve">DO SPRAWDZENIA (pytania D2): przypis 35 cytuje list Penna z 1683 r. – 1686 czy 1683?</w:t>
      </w:r>
    </w:p>
  </w:comment>
  <w:comment w:id="3" w:author="SROM" w:date="2026-01-01T00:00:00Z">
    <w:p>
      <w:pPr>
        <w:pStyle w:val="CommentText"/>
      </w:pPr>
      <w:r>
        <w:rPr>
          <w:rStyle w:val="CommentReference"/>
        </w:rPr>
        <w:annotationRef/>
      </w:r>
      <w:r>
        <w:t xml:space="preserve">DO SPRAWDZENIA: S1 – strona i brzmienie wydania polskiego (W. Scott, Guy Mannering czyli Astrolog, tłum. A. Przedpełska-Trzeciakowska, Nasza Księgarnia 1975, wyd. 2, fragment z oryginału t. 1, s. 103: „pariasi Szkocji…”, „własne obyczaje, nawyki i przekonania”, „członków ucywilizowanej części społeczności”); w tekście przekład roboczy z angielskiego</w:t>
      </w:r>
    </w:p>
  </w:comment>
  <w:comment w:id="4" w:author="SROM" w:date="2026-01-01T00:00:00Z">
    <w:p>
      <w:pPr>
        <w:pStyle w:val="CommentText"/>
      </w:pPr>
      <w:r>
        <w:rPr>
          <w:rStyle w:val="CommentReference"/>
        </w:rPr>
        <w:annotationRef/>
      </w:r>
      <w:r>
        <w:t xml:space="preserve">DO SPRAWDZENIA: S2 – strona i brzmienie wydania polskiego (M. L. Pratt, Imperialne spojrzenie, tłum. E. E. Nowakowska, WUJ 2011, Wstęp: „wytwarzał »resztę świata« dla europejskich odbiorców”; oryginał s. 5); w tekście przekład roboczy z angielskiego</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[@matache2026; @pahulich2025; @savic2022; @mirgatas2023; @ndiaye2022]</w:t>
      </w:r>
      <w:r>
        <w:t xml:space="preserve">.</w:t>
      </w:r>
    </w:p>
  </w:footnote>
  <w:footnote w:id="10">
    <w:p>
      <w:pPr>
        <w:pStyle w:val="FootnoteText"/>
      </w:pPr>
      <w:r>
        <w:rPr>
          <w:rStyle w:val="FootnoteReference"/>
        </w:rPr>
        <w:footnoteRef/>
      </w:r>
      <w:r>
        <w:t xml:space="preserve"> </w:t>
      </w:r>
      <w:r>
        <w:t xml:space="preserve">Angielskiego</w:t>
      </w:r>
      <w:r>
        <w:t xml:space="preserve"> </w:t>
      </w:r>
      <w:r>
        <w:rPr>
          <w:i/>
          <w:iCs/>
        </w:rPr>
        <w:t xml:space="preserve">Gypsy</w:t>
      </w:r>
      <w:r>
        <w:t xml:space="preserve">,</w:t>
      </w:r>
      <w:r>
        <w:t xml:space="preserve"> </w:t>
      </w:r>
      <w:r>
        <w:rPr>
          <w:i/>
          <w:iCs/>
        </w:rPr>
        <w:t xml:space="preserve">Gypsies</w:t>
      </w:r>
      <w:r>
        <w:t xml:space="preserve"> </w:t>
      </w:r>
      <w:r>
        <w:t xml:space="preserve">autorka używa we własnym tekście wyłącznie w cudzysłowie, jako nazwy stereotypu i kategorii wytworzonej przez nie-Romów; w przekładzie – „Cygan”, „Cyganie”, także w cytatach (Kanon, § 6.1, § 12.2.6). Historyczne nazwy obce –</w:t>
      </w:r>
      <w:r>
        <w:t xml:space="preserve"> </w:t>
      </w:r>
      <w:r>
        <w:rPr>
          <w:i/>
          <w:iCs/>
        </w:rPr>
        <w:t xml:space="preserve">cingani</w:t>
      </w:r>
      <w:r>
        <w:t xml:space="preserve">,</w:t>
      </w:r>
      <w:r>
        <w:t xml:space="preserve"> </w:t>
      </w:r>
      <w:r>
        <w:rPr>
          <w:i/>
          <w:iCs/>
        </w:rPr>
        <w:t xml:space="preserve">Zingari</w:t>
      </w:r>
      <w:r>
        <w:t xml:space="preserve">,</w:t>
      </w:r>
      <w:r>
        <w:t xml:space="preserve"> </w:t>
      </w:r>
      <w:r>
        <w:rPr>
          <w:i/>
          <w:iCs/>
        </w:rPr>
        <w:t xml:space="preserve">Ciganos</w:t>
      </w:r>
      <w:r>
        <w:t xml:space="preserve">,</w:t>
      </w:r>
      <w:r>
        <w:t xml:space="preserve"> </w:t>
      </w:r>
      <w:r>
        <w:rPr>
          <w:i/>
          <w:iCs/>
        </w:rPr>
        <w:t xml:space="preserve">Gitanos</w:t>
      </w:r>
      <w:r>
        <w:t xml:space="preserve">,</w:t>
      </w:r>
      <w:r>
        <w:t xml:space="preserve"> </w:t>
      </w:r>
      <w:r>
        <w:rPr>
          <w:i/>
          <w:iCs/>
        </w:rPr>
        <w:t xml:space="preserve">Bohémiens</w:t>
      </w:r>
      <w:r>
        <w:t xml:space="preserve">,</w:t>
      </w:r>
      <w:r>
        <w:t xml:space="preserve"> </w:t>
      </w:r>
      <w:r>
        <w:rPr>
          <w:i/>
          <w:iCs/>
        </w:rPr>
        <w:t xml:space="preserve">Zigeuner</w:t>
      </w:r>
      <w:r>
        <w:t xml:space="preserve"> </w:t>
      </w:r>
      <w:r>
        <w:t xml:space="preserve">– pozostawiono w brzmieniu oryginału; wczesnonowożytne angielskie</w:t>
      </w:r>
      <w:r>
        <w:t xml:space="preserve"> </w:t>
      </w:r>
      <w:r>
        <w:rPr>
          <w:i/>
          <w:iCs/>
        </w:rPr>
        <w:t xml:space="preserve">Egyptians</w:t>
      </w:r>
      <w:r>
        <w:t xml:space="preserve"> </w:t>
      </w:r>
      <w:r>
        <w:t xml:space="preserve">oddano jako „Egipcjanie” – przyp. tłum.</w:t>
      </w:r>
    </w:p>
  </w:footnote>
  <w:footnote w:id="11">
    <w:p>
      <w:pPr>
        <w:pStyle w:val="FootnoteText"/>
      </w:pPr>
      <w:r>
        <w:rPr>
          <w:rStyle w:val="FootnoteReference"/>
        </w:rPr>
        <w:footnoteRef/>
      </w:r>
      <w:r>
        <w:t xml:space="preserve"> </w:t>
      </w:r>
      <w:r>
        <w:t xml:space="preserve">[@bogdal2023]</w:t>
      </w:r>
      <w:r>
        <w:t xml:space="preserve">.</w:t>
      </w:r>
    </w:p>
  </w:footnote>
  <w:footnote w:id="12">
    <w:p>
      <w:pPr>
        <w:pStyle w:val="FootnoteText"/>
      </w:pPr>
      <w:r>
        <w:rPr>
          <w:rStyle w:val="FootnoteReference"/>
        </w:rPr>
        <w:footnoteRef/>
      </w:r>
      <w:r>
        <w:t xml:space="preserve"> </w:t>
      </w:r>
      <w:r>
        <w:t xml:space="preserve">[@ndiaye2022b, s. 3–8; @molina2010; @molina2019; @tabili2003]</w:t>
      </w:r>
      <w:r>
        <w:t xml:space="preserve">.</w:t>
      </w:r>
    </w:p>
  </w:footnote>
  <w:footnote w:id="13">
    <w:p>
      <w:pPr>
        <w:pStyle w:val="FootnoteText"/>
      </w:pPr>
      <w:r>
        <w:rPr>
          <w:rStyle w:val="FootnoteReference"/>
        </w:rPr>
        <w:footnoteRef/>
      </w:r>
      <w:r>
        <w:t xml:space="preserve"> </w:t>
      </w:r>
      <w:r>
        <w:t xml:space="preserve">[@galletti2021, s. 119]</w:t>
      </w:r>
      <w:r>
        <w:t xml:space="preserve">.</w:t>
      </w:r>
    </w:p>
  </w:footnote>
  <w:footnote w:id="14">
    <w:p>
      <w:pPr>
        <w:pStyle w:val="FootnoteText"/>
      </w:pPr>
      <w:r>
        <w:rPr>
          <w:rStyle w:val="FootnoteReference"/>
        </w:rPr>
        <w:footnoteRef/>
      </w:r>
      <w:r>
        <w:t xml:space="preserve"> </w:t>
      </w:r>
      <w:r>
        <w:t xml:space="preserve">[@herzog2018; @herzog2012]</w:t>
      </w:r>
      <w:r>
        <w:t xml:space="preserve">. Odpowiednik angielski zob.</w:t>
      </w:r>
      <w:r>
        <w:t xml:space="preserve"> </w:t>
      </w:r>
      <w:r>
        <w:t xml:space="preserve">[@cressy2018, s. 89]</w:t>
      </w:r>
      <w:r>
        <w:t xml:space="preserve">.</w:t>
      </w:r>
    </w:p>
  </w:footnote>
  <w:footnote w:id="15">
    <w:p>
      <w:pPr>
        <w:pStyle w:val="FootnoteText"/>
      </w:pPr>
      <w:r>
        <w:rPr>
          <w:rStyle w:val="FootnoteReference"/>
        </w:rPr>
        <w:footnoteRef/>
      </w:r>
      <w:r>
        <w:t xml:space="preserve"> </w:t>
      </w:r>
      <w:r>
        <w:t xml:space="preserve">[@wakeleysmith2023; @matthews2018; @houghtonwalker2014; @nord2006; @charnondeutsch2004]</w:t>
      </w:r>
      <w:r>
        <w:t xml:space="preserve">.</w:t>
      </w:r>
    </w:p>
  </w:footnote>
  <w:footnote w:id="16">
    <w:p>
      <w:pPr>
        <w:pStyle w:val="FootnoteText"/>
      </w:pPr>
      <w:r>
        <w:rPr>
          <w:rStyle w:val="FootnoteReference"/>
        </w:rPr>
        <w:footnoteRef/>
      </w:r>
      <w:r>
        <w:t xml:space="preserve"> </w:t>
      </w:r>
      <w:r>
        <w:t xml:space="preserve">[@flint2009; @smith2000; @deloria1998]</w:t>
      </w:r>
      <w:r>
        <w:t xml:space="preserve">.</w:t>
      </w:r>
    </w:p>
  </w:footnote>
  <w:footnote w:id="17">
    <w:p>
      <w:pPr>
        <w:pStyle w:val="FootnoteText"/>
      </w:pPr>
      <w:r>
        <w:rPr>
          <w:rStyle w:val="FootnoteReference"/>
        </w:rPr>
        <w:footnoteRef/>
      </w:r>
      <w:r>
        <w:t xml:space="preserve"> </w:t>
      </w:r>
      <w:r>
        <w:t xml:space="preserve">[@delafuente2020; @hogarth2017; @kendi2016]</w:t>
      </w:r>
      <w:r>
        <w:t xml:space="preserve">.</w:t>
      </w:r>
    </w:p>
  </w:footnote>
  <w:footnote w:id="18">
    <w:p>
      <w:pPr>
        <w:pStyle w:val="FootnoteText"/>
      </w:pPr>
      <w:r>
        <w:rPr>
          <w:rStyle w:val="FootnoteReference"/>
        </w:rPr>
        <w:footnoteRef/>
      </w:r>
      <w:r>
        <w:t xml:space="preserve"> </w:t>
      </w:r>
      <w:r>
        <w:t xml:space="preserve">[@cressy2018, s. 5–10]</w:t>
      </w:r>
      <w:r>
        <w:t xml:space="preserve">.</w:t>
      </w:r>
    </w:p>
  </w:footnote>
  <w:footnote w:id="19">
    <w:p>
      <w:pPr>
        <w:pStyle w:val="FootnoteText"/>
      </w:pPr>
      <w:r>
        <w:rPr>
          <w:rStyle w:val="FootnoteReference"/>
        </w:rPr>
        <w:footnoteRef/>
      </w:r>
      <w:r>
        <w:t xml:space="preserve"> </w:t>
      </w:r>
      <w:r>
        <w:t xml:space="preserve">[@trumpener1992]</w:t>
      </w:r>
      <w:r>
        <w:t xml:space="preserve">.</w:t>
      </w:r>
    </w:p>
  </w:footnote>
  <w:footnote w:id="20">
    <w:p>
      <w:pPr>
        <w:pStyle w:val="FootnoteText"/>
      </w:pPr>
      <w:r>
        <w:rPr>
          <w:rStyle w:val="FootnoteReference"/>
        </w:rPr>
        <w:footnoteRef/>
      </w:r>
      <w:r>
        <w:t xml:space="preserve"> </w:t>
      </w:r>
      <w:r>
        <w:t xml:space="preserve">[@weinstein1960, {s. 73, 103, przyp. 24}; @memoircabot1831, s. 236; @columbus1893, s. 235–238]</w:t>
      </w:r>
      <w:r>
        <w:t xml:space="preserve"> </w:t>
      </w:r>
      <w:r>
        <w:t xml:space="preserve">[tłum. z przekładu angielskiego – przyp. tłum.] Zapewne nieprzypadkowo pierwsze relacyjne odniesienie pochodzące z Europy Zachodniej wyszło spod pióra wenecjanina. Choć obecność Romów w Portugalii jest udokumentowana dopiero od lat 20. XVI w., w miastach pod panowaniem Wenecji mieszkali oni co najmniej od 1444 r.</w:t>
      </w:r>
      <w:r>
        <w:t xml:space="preserve"> </w:t>
      </w:r>
      <w:r>
        <w:t xml:space="preserve">[@soulis1961, s. 152]</w:t>
      </w:r>
      <w:r>
        <w:t xml:space="preserve">. O pierwszych wzmiankach o Romach w Portugalii zob.</w:t>
      </w:r>
      <w:r>
        <w:t xml:space="preserve"> </w:t>
      </w:r>
      <w:r>
        <w:t xml:space="preserve">[@mangas2024, s. 55–56, 68, 229–230]</w:t>
      </w:r>
      <w:r>
        <w:t xml:space="preserve">.</w:t>
      </w:r>
    </w:p>
  </w:footnote>
  <w:footnote w:id="21">
    <w:p>
      <w:pPr>
        <w:pStyle w:val="FootnoteText"/>
      </w:pPr>
      <w:r>
        <w:rPr>
          <w:rStyle w:val="FootnoteReference"/>
        </w:rPr>
        <w:footnoteRef/>
      </w:r>
      <w:r>
        <w:t xml:space="preserve"> </w:t>
      </w:r>
      <w:r>
        <w:t xml:space="preserve">[@beretario1617, s. 39]</w:t>
      </w:r>
      <w:r>
        <w:t xml:space="preserve"> </w:t>
      </w:r>
      <w:r>
        <w:t xml:space="preserve">[tłum. z przekładu angielskiego autorki – przyp. tłum.] Podobne odniesienie z 1557 r. objaśnia, że kobiety Toalli z Florydy owijają się okryciami „na modłę</w:t>
      </w:r>
      <w:r>
        <w:t xml:space="preserve"> </w:t>
      </w:r>
      <w:r>
        <w:rPr>
          <w:i/>
          <w:iCs/>
        </w:rPr>
        <w:t xml:space="preserve">Ciganos</w:t>
      </w:r>
      <w:r>
        <w:t xml:space="preserve">”.</w:t>
      </w:r>
      <w:r>
        <w:t xml:space="preserve"> </w:t>
      </w:r>
      <w:r>
        <w:t xml:space="preserve">[@elvas1932, s. 118]</w:t>
      </w:r>
      <w:r>
        <w:t xml:space="preserve"> </w:t>
      </w:r>
      <w:r>
        <w:t xml:space="preserve">[tłum. z przekładu angielskiego – przyp. tłum.]</w:t>
      </w:r>
    </w:p>
  </w:footnote>
  <w:footnote w:id="22">
    <w:p>
      <w:pPr>
        <w:pStyle w:val="FootnoteText"/>
      </w:pPr>
      <w:r>
        <w:rPr>
          <w:rStyle w:val="FootnoteReference"/>
        </w:rPr>
        <w:footnoteRef/>
      </w:r>
      <w:r>
        <w:t xml:space="preserve"> </w:t>
      </w:r>
      <w:r>
        <w:t xml:space="preserve">[@martinezserna2009, s. 196]</w:t>
      </w:r>
      <w:r>
        <w:t xml:space="preserve">.</w:t>
      </w:r>
    </w:p>
  </w:footnote>
  <w:footnote w:id="23">
    <w:p>
      <w:pPr>
        <w:pStyle w:val="FootnoteText"/>
      </w:pPr>
      <w:r>
        <w:rPr>
          <w:rStyle w:val="FootnoteReference"/>
        </w:rPr>
        <w:footnoteRef/>
      </w:r>
      <w:r>
        <w:t xml:space="preserve"> </w:t>
      </w:r>
      <w:r>
        <w:t xml:space="preserve">[@schmidl1938, s. 44]</w:t>
      </w:r>
      <w:r>
        <w:t xml:space="preserve"> </w:t>
      </w:r>
      <w:r>
        <w:t xml:space="preserve">[przekład z hiszpańskiego tekstu cytowanego wydania – przyp. tłum.] Oryginalny rękopis zdigitalizowała Württembergische Landesbibliothek w Stuttgarcie, https://digital.wlb-stuttgart.de/index.php?id=6&amp;tx_dlf%5Bid%5D=16324&amp;tx_dlf%5Bpage%5D=1.</w:t>
      </w:r>
    </w:p>
  </w:footnote>
  <w:footnote w:id="24">
    <w:p>
      <w:pPr>
        <w:pStyle w:val="FootnoteText"/>
      </w:pPr>
      <w:r>
        <w:rPr>
          <w:rStyle w:val="FootnoteReference"/>
        </w:rPr>
        <w:footnoteRef/>
      </w:r>
      <w:r>
        <w:t xml:space="preserve"> </w:t>
      </w:r>
      <w:r>
        <w:t xml:space="preserve">[@actas1915, s. 365; @monteiro2018, s. 98; @fotta2019, s. 8–10]</w:t>
      </w:r>
      <w:r>
        <w:t xml:space="preserve">.</w:t>
      </w:r>
    </w:p>
  </w:footnote>
  <w:footnote w:id="25">
    <w:p>
      <w:pPr>
        <w:pStyle w:val="FootnoteText"/>
      </w:pPr>
      <w:r>
        <w:rPr>
          <w:rStyle w:val="FootnoteReference"/>
        </w:rPr>
        <w:footnoteRef/>
      </w:r>
      <w:r>
        <w:t xml:space="preserve"> </w:t>
      </w:r>
      <w:r>
        <w:t xml:space="preserve">[@herzog2003, {s. 129, 249, przyp. 36}]</w:t>
      </w:r>
      <w:r>
        <w:t xml:space="preserve"> </w:t>
      </w:r>
      <w:r>
        <w:t xml:space="preserve">[tłum. z przekładu angielskiego – przyp. tłum.]</w:t>
      </w:r>
    </w:p>
  </w:footnote>
  <w:footnote w:id="26">
    <w:p>
      <w:pPr>
        <w:pStyle w:val="FootnoteText"/>
      </w:pPr>
      <w:r>
        <w:rPr>
          <w:rStyle w:val="FootnoteReference"/>
        </w:rPr>
        <w:footnoteRef/>
      </w:r>
      <w:r>
        <w:t xml:space="preserve"> </w:t>
      </w:r>
      <w:r>
        <w:t xml:space="preserve">[@gomezalfaro1999, s. 19]</w:t>
      </w:r>
      <w:r>
        <w:t xml:space="preserve"> </w:t>
      </w:r>
      <w:r>
        <w:t xml:space="preserve">[tłum. z przekładu angielskiego autorki – przyp. tłum.]</w:t>
      </w:r>
    </w:p>
  </w:footnote>
  <w:footnote w:id="27">
    <w:p>
      <w:pPr>
        <w:pStyle w:val="FootnoteText"/>
      </w:pPr>
      <w:r>
        <w:rPr>
          <w:rStyle w:val="FootnoteReference"/>
        </w:rPr>
        <w:footnoteRef/>
      </w:r>
      <w:r>
        <w:t xml:space="preserve"> </w:t>
      </w:r>
      <w:r>
        <w:t xml:space="preserve">[@gomezalfaro1999, s. 27–33; @gomezalfaro1993]</w:t>
      </w:r>
      <w:r>
        <w:t xml:space="preserve"> </w:t>
      </w:r>
      <w:r>
        <w:t xml:space="preserve">[tłum. z przekładu angielskiego – przyp. tłum.]</w:t>
      </w:r>
    </w:p>
  </w:footnote>
  <w:footnote w:id="28">
    <w:p>
      <w:pPr>
        <w:pStyle w:val="FootnoteText"/>
      </w:pPr>
      <w:r>
        <w:rPr>
          <w:rStyle w:val="FootnoteReference"/>
        </w:rPr>
        <w:footnoteRef/>
      </w:r>
      <w:r>
        <w:t xml:space="preserve"> </w:t>
      </w:r>
      <w:r>
        <w:t xml:space="preserve">[@oreilly2003]</w:t>
      </w:r>
      <w:r>
        <w:t xml:space="preserve">.</w:t>
      </w:r>
    </w:p>
  </w:footnote>
  <w:footnote w:id="29">
    <w:p>
      <w:pPr>
        <w:pStyle w:val="FootnoteText"/>
      </w:pPr>
      <w:r>
        <w:rPr>
          <w:rStyle w:val="FootnoteReference"/>
        </w:rPr>
        <w:footnoteRef/>
      </w:r>
      <w:r>
        <w:t xml:space="preserve"> </w:t>
      </w:r>
      <w:r>
        <w:t xml:space="preserve">[@gomezalfaro1999, s. 30]</w:t>
      </w:r>
      <w:r>
        <w:t xml:space="preserve">.</w:t>
      </w:r>
    </w:p>
  </w:footnote>
  <w:footnote w:id="30">
    <w:p>
      <w:pPr>
        <w:pStyle w:val="FootnoteText"/>
      </w:pPr>
      <w:r>
        <w:rPr>
          <w:rStyle w:val="FootnoteReference"/>
        </w:rPr>
        <w:footnoteRef/>
      </w:r>
      <w:r>
        <w:t xml:space="preserve"> </w:t>
      </w:r>
      <w:r>
        <w:t xml:space="preserve">[@herzog2003, s. 133]</w:t>
      </w:r>
      <w:r>
        <w:t xml:space="preserve"> </w:t>
      </w:r>
      <w:r>
        <w:t xml:space="preserve">[tłum. z przekładu angielskiego – przyp. tłum.]</w:t>
      </w:r>
    </w:p>
  </w:footnote>
  <w:footnote w:id="31">
    <w:p>
      <w:pPr>
        <w:pStyle w:val="FootnoteText"/>
      </w:pPr>
      <w:r>
        <w:rPr>
          <w:rStyle w:val="FootnoteReference"/>
        </w:rPr>
        <w:footnoteRef/>
      </w:r>
      <w:r>
        <w:t xml:space="preserve"> </w:t>
      </w:r>
      <w:r>
        <w:t xml:space="preserve">[@herzog2003, s. 133; @gomezalfaro1999, s. 30; @pym2007, s. 145–147]</w:t>
      </w:r>
      <w:r>
        <w:t xml:space="preserve">.</w:t>
      </w:r>
    </w:p>
  </w:footnote>
  <w:footnote w:id="32">
    <w:p>
      <w:pPr>
        <w:pStyle w:val="FootnoteText"/>
      </w:pPr>
      <w:r>
        <w:rPr>
          <w:rStyle w:val="FootnoteReference"/>
        </w:rPr>
        <w:footnoteRef/>
      </w:r>
      <w:r>
        <w:t xml:space="preserve"> </w:t>
      </w:r>
      <w:r>
        <w:t xml:space="preserve">[@paucke1959, {t. 1, s. 183, 239, 303 i t. 2, s. 452}]</w:t>
      </w:r>
      <w:r>
        <w:t xml:space="preserve"> </w:t>
      </w:r>
      <w:r>
        <w:t xml:space="preserve">[tłum. z przekładu angielskiego autorki – przyp. tłum.]</w:t>
      </w:r>
    </w:p>
  </w:footnote>
  <w:footnote w:id="33">
    <w:p>
      <w:pPr>
        <w:pStyle w:val="FootnoteText"/>
      </w:pPr>
      <w:r>
        <w:rPr>
          <w:rStyle w:val="FootnoteReference"/>
        </w:rPr>
        <w:footnoteRef/>
      </w:r>
      <w:r>
        <w:t xml:space="preserve"> </w:t>
      </w:r>
      <w:r>
        <w:t xml:space="preserve">[@galletti2021, s. 121–122; @radding1997, s. 148]</w:t>
      </w:r>
      <w:r>
        <w:t xml:space="preserve"> </w:t>
      </w:r>
      <w:r>
        <w:t xml:space="preserve">[przekład z oryginału hiszpańskiego przytoczonego przez P. Galletti, s. 122 – przyp. tłum.]</w:t>
      </w:r>
    </w:p>
  </w:footnote>
  <w:footnote w:id="34">
    <w:p>
      <w:pPr>
        <w:pStyle w:val="FootnoteText"/>
      </w:pPr>
      <w:r>
        <w:rPr>
          <w:rStyle w:val="FootnoteReference"/>
        </w:rPr>
        <w:footnoteRef/>
      </w:r>
      <w:r>
        <w:t xml:space="preserve"> </w:t>
      </w:r>
      <w:r>
        <w:t xml:space="preserve">[@morenoalonso1983, s. 18, 32; @scarano1996, s. 1415]</w:t>
      </w:r>
      <w:r>
        <w:t xml:space="preserve"> </w:t>
      </w:r>
      <w:r>
        <w:t xml:space="preserve">[tłum. z przekładu angielskiego – przyp. tłum.]</w:t>
      </w:r>
    </w:p>
  </w:footnote>
  <w:footnote w:id="35">
    <w:p>
      <w:pPr>
        <w:pStyle w:val="FootnoteText"/>
      </w:pPr>
      <w:r>
        <w:rPr>
          <w:rStyle w:val="FootnoteReference"/>
        </w:rPr>
        <w:footnoteRef/>
      </w:r>
      <w:r>
        <w:t xml:space="preserve"> </w:t>
      </w:r>
      <w:r>
        <w:t xml:space="preserve">[@poisson1900, s. 314–315]</w:t>
      </w:r>
      <w:r>
        <w:t xml:space="preserve">.</w:t>
      </w:r>
    </w:p>
  </w:footnote>
  <w:footnote w:id="36">
    <w:p>
      <w:pPr>
        <w:pStyle w:val="FootnoteText"/>
      </w:pPr>
      <w:r>
        <w:rPr>
          <w:rStyle w:val="FootnoteReference"/>
        </w:rPr>
        <w:footnoteRef/>
      </w:r>
      <w:r>
        <w:t xml:space="preserve"> </w:t>
      </w:r>
      <w:r>
        <w:t xml:space="preserve">[@berquinduvallon1803, s. 32]</w:t>
      </w:r>
      <w:r>
        <w:t xml:space="preserve">.</w:t>
      </w:r>
    </w:p>
  </w:footnote>
  <w:footnote w:id="37">
    <w:p>
      <w:pPr>
        <w:pStyle w:val="FootnoteText"/>
      </w:pPr>
      <w:r>
        <w:rPr>
          <w:rStyle w:val="FootnoteReference"/>
        </w:rPr>
        <w:footnoteRef/>
      </w:r>
      <w:r>
        <w:t xml:space="preserve"> </w:t>
      </w:r>
      <w:r>
        <w:t xml:space="preserve">[@ostendorf2021, s. 686; @ostendorf2019]</w:t>
      </w:r>
      <w:r>
        <w:t xml:space="preserve">.</w:t>
      </w:r>
    </w:p>
  </w:footnote>
  <w:footnote w:id="38">
    <w:p>
      <w:pPr>
        <w:pStyle w:val="FootnoteText"/>
      </w:pPr>
      <w:r>
        <w:rPr>
          <w:rStyle w:val="FootnoteReference"/>
        </w:rPr>
        <w:footnoteRef/>
      </w:r>
      <w:r>
        <w:t xml:space="preserve"> </w:t>
      </w:r>
      <w:r>
        <w:t xml:space="preserve">Listy Layssarda do gubernatora z 18.03, 29.03 i 02.04.1772 oraz z 02.01.1775, leg. 188C, k. 143–149, Papeles procedentes de Cuba, Archivo General de Indias. [tłum. z przekładu angielskiego autorki – przyp. tłum.]</w:t>
      </w:r>
    </w:p>
  </w:footnote>
  <w:footnote w:id="39">
    <w:p>
      <w:pPr>
        <w:pStyle w:val="FootnoteText"/>
      </w:pPr>
      <w:r>
        <w:rPr>
          <w:rStyle w:val="FootnoteReference"/>
        </w:rPr>
        <w:footnoteRef/>
      </w:r>
      <w:r>
        <w:t xml:space="preserve"> </w:t>
      </w:r>
      <w:r>
        <w:t xml:space="preserve">Marriages, księga A, 89, nr 201, oraz Non-white Marriages, księga 1, nr 13, 01.05.1779, St. Louis Cathedral, Archdiocese of New Orleans Archive;</w:t>
      </w:r>
      <w:r>
        <w:t xml:space="preserve"> </w:t>
      </w:r>
      <w:r>
        <w:t xml:space="preserve">[@ostendorf2021, s. 681–683; @stoler2002, s. 76]</w:t>
      </w:r>
      <w:r>
        <w:t xml:space="preserve">.</w:t>
      </w:r>
    </w:p>
  </w:footnote>
  <w:footnote w:id="40">
    <w:p>
      <w:pPr>
        <w:pStyle w:val="FootnoteText"/>
      </w:pPr>
      <w:r>
        <w:rPr>
          <w:rStyle w:val="FootnoteReference"/>
        </w:rPr>
        <w:footnoteRef/>
      </w:r>
      <w:r>
        <w:t xml:space="preserve"> </w:t>
      </w:r>
      <w:r>
        <w:t xml:space="preserve">[@milfort1802, s. 57]</w:t>
      </w:r>
      <w:r>
        <w:t xml:space="preserve">.</w:t>
      </w:r>
    </w:p>
  </w:footnote>
  <w:footnote w:id="41">
    <w:p>
      <w:pPr>
        <w:pStyle w:val="FootnoteText"/>
      </w:pPr>
      <w:r>
        <w:rPr>
          <w:rStyle w:val="FootnoteReference"/>
        </w:rPr>
        <w:footnoteRef/>
      </w:r>
      <w:r>
        <w:t xml:space="preserve"> </w:t>
      </w:r>
      <w:r>
        <w:t xml:space="preserve">Pierre de Rigaud, Marquis de Vaudreuil Papers, 1740–1753, kopiariusz listów, 15.02.1744, Huntington Library. [tłum. z przekładu angielskiego autorki – przyp. tłum.]</w:t>
      </w:r>
    </w:p>
  </w:footnote>
  <w:footnote w:id="42">
    <w:p>
      <w:pPr>
        <w:pStyle w:val="FootnoteText"/>
      </w:pPr>
      <w:r>
        <w:rPr>
          <w:rStyle w:val="FootnoteReference"/>
        </w:rPr>
        <w:footnoteRef/>
      </w:r>
      <w:r>
        <w:t xml:space="preserve"> </w:t>
      </w:r>
      <w:r>
        <w:t xml:space="preserve">[@ostendorf2020]</w:t>
      </w:r>
      <w:r>
        <w:t xml:space="preserve"> </w:t>
      </w:r>
      <w:r>
        <w:t xml:space="preserve">[tłum. z przekładu angielskiego autorki – przyp. tłum.]</w:t>
      </w:r>
    </w:p>
  </w:footnote>
  <w:footnote w:id="43">
    <w:p>
      <w:pPr>
        <w:pStyle w:val="FootnoteText"/>
      </w:pPr>
      <w:r>
        <w:rPr>
          <w:rStyle w:val="FootnoteReference"/>
        </w:rPr>
        <w:footnoteRef/>
      </w:r>
      <w:r>
        <w:t xml:space="preserve"> </w:t>
      </w:r>
      <w:r>
        <w:t xml:space="preserve">[@relation1622, s. 34; @mourt1865, s. 88]</w:t>
      </w:r>
      <w:r>
        <w:t xml:space="preserve">.</w:t>
      </w:r>
    </w:p>
  </w:footnote>
  <w:footnote w:id="44">
    <w:p>
      <w:pPr>
        <w:pStyle w:val="FootnoteText"/>
      </w:pPr>
      <w:r>
        <w:rPr>
          <w:rStyle w:val="FootnoteReference"/>
        </w:rPr>
        <w:footnoteRef/>
      </w:r>
      <w:r>
        <w:t xml:space="preserve"> </w:t>
      </w:r>
      <w:r>
        <w:t xml:space="preserve">[@penn1912, s. 230]</w:t>
      </w:r>
      <w:r>
        <w:t xml:space="preserve">.</w:t>
      </w:r>
    </w:p>
  </w:footnote>
  <w:footnote w:id="45">
    <w:p>
      <w:pPr>
        <w:pStyle w:val="FootnoteText"/>
      </w:pPr>
      <w:r>
        <w:rPr>
          <w:rStyle w:val="FootnoteReference"/>
        </w:rPr>
        <w:footnoteRef/>
      </w:r>
      <w:r>
        <w:t xml:space="preserve"> </w:t>
      </w:r>
      <w:r>
        <w:t xml:space="preserve">[@cressy2018, s. 39–53, 75–77; @cunniffe2023]</w:t>
      </w:r>
      <w:r>
        <w:t xml:space="preserve">.</w:t>
      </w:r>
    </w:p>
  </w:footnote>
  <w:footnote w:id="46">
    <w:p>
      <w:pPr>
        <w:pStyle w:val="FootnoteText"/>
      </w:pPr>
      <w:r>
        <w:rPr>
          <w:rStyle w:val="FootnoteReference"/>
        </w:rPr>
        <w:footnoteRef/>
      </w:r>
      <w:r>
        <w:t xml:space="preserve"> </w:t>
      </w:r>
      <w:r>
        <w:t xml:space="preserve">[@stone1882, s. 180]</w:t>
      </w:r>
      <w:r>
        <w:t xml:space="preserve">.</w:t>
      </w:r>
    </w:p>
  </w:footnote>
  <w:footnote w:id="47">
    <w:p>
      <w:pPr>
        <w:pStyle w:val="FootnoteText"/>
      </w:pPr>
      <w:r>
        <w:rPr>
          <w:rStyle w:val="FootnoteReference"/>
        </w:rPr>
        <w:footnoteRef/>
      </w:r>
      <w:r>
        <w:t xml:space="preserve"> </w:t>
      </w:r>
      <w:r>
        <w:t xml:space="preserve">Sto lat później, w pobliskiej okolicy, niemiecki misjonarz morawski George Henry Loskiel, żyjący wśród ludu Nanticoke, zauważył, że „pojedyncze rodziny indiańskie, które przebywają wśród białych ludzi nad rzekami […], są na ogół lichą hołotą, niemal jak</w:t>
      </w:r>
      <w:r>
        <w:t xml:space="preserve"> </w:t>
      </w:r>
      <w:r>
        <w:rPr>
          <w:i/>
          <w:iCs/>
        </w:rPr>
        <w:t xml:space="preserve">Zigeuner</w:t>
      </w:r>
      <w:r>
        <w:t xml:space="preserve">”.</w:t>
      </w:r>
      <w:r>
        <w:t xml:space="preserve"> </w:t>
      </w:r>
      <w:r>
        <w:t xml:space="preserve">[@loskiel1789, s. 167; @loskiel1794, s. 130]</w:t>
      </w:r>
      <w:r>
        <w:t xml:space="preserve">.</w:t>
      </w:r>
    </w:p>
  </w:footnote>
  <w:footnote w:id="48">
    <w:p>
      <w:pPr>
        <w:pStyle w:val="FootnoteText"/>
      </w:pPr>
      <w:r>
        <w:rPr>
          <w:rStyle w:val="FootnoteReference"/>
        </w:rPr>
        <w:footnoteRef/>
      </w:r>
      <w:r>
        <w:t xml:space="preserve"> </w:t>
      </w:r>
      <w:r>
        <w:t xml:space="preserve">[@cressy2018, s. 53]</w:t>
      </w:r>
      <w:r>
        <w:t xml:space="preserve">.</w:t>
      </w:r>
    </w:p>
  </w:footnote>
  <w:footnote w:id="49">
    <w:p>
      <w:pPr>
        <w:pStyle w:val="FootnoteText"/>
      </w:pPr>
      <w:r>
        <w:rPr>
          <w:rStyle w:val="FootnoteReference"/>
        </w:rPr>
        <w:footnoteRef/>
      </w:r>
      <w:r>
        <w:t xml:space="preserve"> </w:t>
      </w:r>
      <w:r>
        <w:t xml:space="preserve">[@jamaicalady1720, s. 8, 9, 85]</w:t>
      </w:r>
      <w:r>
        <w:t xml:space="preserve">.</w:t>
      </w:r>
    </w:p>
  </w:footnote>
  <w:footnote w:id="50">
    <w:p>
      <w:pPr>
        <w:pStyle w:val="FootnoteText"/>
      </w:pPr>
      <w:r>
        <w:rPr>
          <w:rStyle w:val="FootnoteReference"/>
        </w:rPr>
        <w:footnoteRef/>
      </w:r>
      <w:r>
        <w:t xml:space="preserve"> </w:t>
      </w:r>
      <w:r>
        <w:t xml:space="preserve">[@loewald1957, s. 220; @loewald1958, s. 245; @urlsperger1751, {t. 3, s. 979}]</w:t>
      </w:r>
      <w:r>
        <w:t xml:space="preserve"> </w:t>
      </w:r>
      <w:r>
        <w:t xml:space="preserve">[przekład z oryginału niemieckiego u Urlspergera, s. 979–980 – przyp. tłum.]</w:t>
      </w:r>
    </w:p>
  </w:footnote>
  <w:footnote w:id="51">
    <w:p>
      <w:pPr>
        <w:pStyle w:val="FootnoteText"/>
      </w:pPr>
      <w:r>
        <w:rPr>
          <w:rStyle w:val="FootnoteReference"/>
        </w:rPr>
        <w:footnoteRef/>
      </w:r>
      <w:r>
        <w:t xml:space="preserve"> </w:t>
      </w:r>
      <w:r>
        <w:t xml:space="preserve">[@muhlenberg1945, {t. 2, s. 638}]</w:t>
      </w:r>
      <w:r>
        <w:t xml:space="preserve"> </w:t>
      </w:r>
      <w:r>
        <w:t xml:space="preserve">[tłum. z przekładu angielskiego – przyp. tłum.]</w:t>
      </w:r>
    </w:p>
  </w:footnote>
  <w:footnote w:id="52">
    <w:p>
      <w:pPr>
        <w:pStyle w:val="FootnoteText"/>
      </w:pPr>
      <w:r>
        <w:rPr>
          <w:rStyle w:val="FootnoteReference"/>
        </w:rPr>
        <w:footnoteRef/>
      </w:r>
      <w:r>
        <w:t xml:space="preserve"> </w:t>
      </w:r>
      <w:r>
        <w:t xml:space="preserve">[@ostendorf2018; @block2021, s. 103–107]</w:t>
      </w:r>
      <w:r>
        <w:t xml:space="preserve">.</w:t>
      </w:r>
    </w:p>
  </w:footnote>
  <w:footnote w:id="53">
    <w:p>
      <w:pPr>
        <w:pStyle w:val="FootnoteText"/>
      </w:pPr>
      <w:r>
        <w:rPr>
          <w:rStyle w:val="FootnoteReference"/>
        </w:rPr>
        <w:footnoteRef/>
      </w:r>
      <w:r>
        <w:t xml:space="preserve"> </w:t>
      </w:r>
      <w:r>
        <w:t xml:space="preserve">[@webb1736, s. 349; @tucker1803, s. 33, 165–166]</w:t>
      </w:r>
      <w:r>
        <w:t xml:space="preserve">.</w:t>
      </w:r>
    </w:p>
  </w:footnote>
  <w:footnote w:id="54">
    <w:p>
      <w:pPr>
        <w:pStyle w:val="FootnoteText"/>
      </w:pPr>
      <w:r>
        <w:rPr>
          <w:rStyle w:val="FootnoteReference"/>
        </w:rPr>
        <w:footnoteRef/>
      </w:r>
      <w:r>
        <w:t xml:space="preserve"> </w:t>
      </w:r>
      <w:r>
        <w:t xml:space="preserve">[@todd2009, s. 102]</w:t>
      </w:r>
      <w:r>
        <w:t xml:space="preserve">.</w:t>
      </w:r>
    </w:p>
  </w:footnote>
  <w:footnote w:id="55">
    <w:p>
      <w:pPr>
        <w:pStyle w:val="FootnoteText"/>
      </w:pPr>
      <w:r>
        <w:rPr>
          <w:rStyle w:val="FootnoteReference"/>
        </w:rPr>
        <w:footnoteRef/>
      </w:r>
      <w:r>
        <w:t xml:space="preserve"> </w:t>
      </w:r>
      <w:r>
        <w:t xml:space="preserve">[@cayton2013, s. 24]</w:t>
      </w:r>
      <w:r>
        <w:t xml:space="preserve">.</w:t>
      </w:r>
    </w:p>
  </w:footnote>
  <w:footnote w:id="56">
    <w:p>
      <w:pPr>
        <w:pStyle w:val="FootnoteText"/>
      </w:pPr>
      <w:r>
        <w:rPr>
          <w:rStyle w:val="FootnoteReference"/>
        </w:rPr>
        <w:footnoteRef/>
      </w:r>
      <w:r>
        <w:t xml:space="preserve"> </w:t>
      </w:r>
      <w:r>
        <w:t xml:space="preserve">[@scott1975]</w:t>
      </w:r>
      <w:r>
        <w:t xml:space="preserve">;</w:t>
      </w:r>
      <w:commentRangeStart w:id="3"/>
      <w:commentRangeEnd w:id="3"/>
      <w:r>
        <w:rPr>
          <w:rStyle w:val="CommentReference"/>
        </w:rPr>
        <w:commentReference w:id="3"/>
      </w:r>
      <w:r>
        <w:t xml:space="preserve"> </w:t>
      </w:r>
      <w:r>
        <w:t xml:space="preserve">[@scott1815, {t. 1, s. 103}]</w:t>
      </w:r>
      <w:r>
        <w:t xml:space="preserve">.</w:t>
      </w:r>
    </w:p>
  </w:footnote>
  <w:footnote w:id="57">
    <w:p>
      <w:pPr>
        <w:pStyle w:val="FootnoteText"/>
      </w:pPr>
      <w:r>
        <w:rPr>
          <w:rStyle w:val="FootnoteReference"/>
        </w:rPr>
        <w:footnoteRef/>
      </w:r>
      <w:r>
        <w:t xml:space="preserve"> </w:t>
      </w:r>
      <w:r>
        <w:t xml:space="preserve">[@hofland1830, s. 7; @trumpener1997, {s. 346, przyp. 50}]</w:t>
      </w:r>
      <w:r>
        <w:t xml:space="preserve">.</w:t>
      </w:r>
    </w:p>
  </w:footnote>
  <w:footnote w:id="58">
    <w:p>
      <w:pPr>
        <w:pStyle w:val="FootnoteText"/>
      </w:pPr>
      <w:r>
        <w:rPr>
          <w:rStyle w:val="FootnoteReference"/>
        </w:rPr>
        <w:footnoteRef/>
      </w:r>
      <w:r>
        <w:t xml:space="preserve"> </w:t>
      </w:r>
      <w:r>
        <w:t xml:space="preserve">„National Gazette and Literary Register” (Philadelphia), 19.05.1834; „The Family Magazine”, 1834, t. 2, s. 86–87.</w:t>
      </w:r>
    </w:p>
  </w:footnote>
  <w:footnote w:id="59">
    <w:p>
      <w:pPr>
        <w:pStyle w:val="FootnoteText"/>
      </w:pPr>
      <w:r>
        <w:rPr>
          <w:rStyle w:val="FootnoteReference"/>
        </w:rPr>
        <w:footnoteRef/>
      </w:r>
      <w:r>
        <w:t xml:space="preserve"> </w:t>
      </w:r>
      <w:r>
        <w:t xml:space="preserve">„Sunbury American” (Pennsylvania), 13.07.1850.</w:t>
      </w:r>
    </w:p>
  </w:footnote>
  <w:footnote w:id="60">
    <w:p>
      <w:pPr>
        <w:pStyle w:val="FootnoteText"/>
      </w:pPr>
      <w:r>
        <w:rPr>
          <w:rStyle w:val="FootnoteReference"/>
        </w:rPr>
        <w:footnoteRef/>
      </w:r>
      <w:r>
        <w:t xml:space="preserve"> </w:t>
      </w:r>
      <w:r>
        <w:t xml:space="preserve">[@clinton1849, s. 196]</w:t>
      </w:r>
      <w:r>
        <w:t xml:space="preserve">.</w:t>
      </w:r>
    </w:p>
  </w:footnote>
  <w:footnote w:id="61">
    <w:p>
      <w:pPr>
        <w:pStyle w:val="FootnoteText"/>
      </w:pPr>
      <w:r>
        <w:rPr>
          <w:rStyle w:val="FootnoteReference"/>
        </w:rPr>
        <w:footnoteRef/>
      </w:r>
      <w:r>
        <w:t xml:space="preserve"> </w:t>
      </w:r>
      <w:r>
        <w:t xml:space="preserve">Przykłady zob. „Vermont Watchman and State Journal” (Montpelier), 06.05.1847; „Lower Sandusky Freeman” (Fremont, Ohio), 16.06.1849; „The Republic” (Washington, DC), 13.08.1849; „Southern Sentinel” (Iberville, LA), 29.08.1849; „Jeffersonian Republican” (Stroudsburg, PA), 21.02.1850; „Grand River Times” (Grand Haven, MI), 09.03.1852.</w:t>
      </w:r>
    </w:p>
  </w:footnote>
  <w:footnote w:id="62">
    <w:p>
      <w:pPr>
        <w:pStyle w:val="FootnoteText"/>
      </w:pPr>
      <w:r>
        <w:rPr>
          <w:rStyle w:val="FootnoteReference"/>
        </w:rPr>
        <w:footnoteRef/>
      </w:r>
      <w:r>
        <w:t xml:space="preserve"> </w:t>
      </w:r>
      <w:r>
        <w:t xml:space="preserve">„The Native American” (Washington, DC), 10.03.1838.</w:t>
      </w:r>
    </w:p>
  </w:footnote>
  <w:footnote w:id="63">
    <w:p>
      <w:pPr>
        <w:pStyle w:val="FootnoteText"/>
      </w:pPr>
      <w:r>
        <w:rPr>
          <w:rStyle w:val="FootnoteReference"/>
        </w:rPr>
        <w:footnoteRef/>
      </w:r>
      <w:r>
        <w:t xml:space="preserve"> </w:t>
      </w:r>
      <w:r>
        <w:t xml:space="preserve">„Cherokee Phoenix” (New Echota, GA), 24.09.1828.</w:t>
      </w:r>
    </w:p>
  </w:footnote>
  <w:footnote w:id="64">
    <w:p>
      <w:pPr>
        <w:pStyle w:val="FootnoteText"/>
      </w:pPr>
      <w:r>
        <w:rPr>
          <w:rStyle w:val="FootnoteReference"/>
        </w:rPr>
        <w:footnoteRef/>
      </w:r>
      <w:r>
        <w:t xml:space="preserve"> </w:t>
      </w:r>
      <w:r>
        <w:t xml:space="preserve">[@pratt2011]</w:t>
      </w:r>
      <w:r>
        <w:t xml:space="preserve">;</w:t>
      </w:r>
      <w:commentRangeStart w:id="4"/>
      <w:commentRangeEnd w:id="4"/>
      <w:r>
        <w:rPr>
          <w:rStyle w:val="CommentReference"/>
        </w:rPr>
        <w:commentReference w:id="4"/>
      </w:r>
      <w:r>
        <w:t xml:space="preserve"> </w:t>
      </w:r>
      <w:r>
        <w:t xml:space="preserve">[@pratt1992, s. 5]</w:t>
      </w:r>
      <w:r>
        <w:t xml:space="preserve">.</w:t>
      </w:r>
    </w:p>
  </w:footnote>
  <w:footnote w:id="65">
    <w:p>
      <w:pPr>
        <w:pStyle w:val="FootnoteText"/>
      </w:pPr>
      <w:r>
        <w:rPr>
          <w:rStyle w:val="FootnoteReference"/>
        </w:rPr>
        <w:footnoteRef/>
      </w:r>
      <w:r>
        <w:t xml:space="preserve"> </w:t>
      </w:r>
      <w:r>
        <w:t xml:space="preserve">[@morgan2004, s. 49]</w:t>
      </w:r>
      <w:r>
        <w:t xml:space="preserve">.</w:t>
      </w:r>
    </w:p>
  </w:footnote>
  <w:footnote w:id="66">
    <w:p>
      <w:pPr>
        <w:pStyle w:val="FootnoteText"/>
      </w:pPr>
      <w:r>
        <w:rPr>
          <w:rStyle w:val="FootnoteReference"/>
        </w:rPr>
        <w:footnoteRef/>
      </w:r>
      <w:r>
        <w:t xml:space="preserve"> </w:t>
      </w:r>
      <w:r>
        <w:t xml:space="preserve">[@wollon1952, s. 206]</w:t>
      </w:r>
      <w:r>
        <w:t xml:space="preserve">.</w:t>
      </w:r>
    </w:p>
  </w:footnote>
  <w:footnote w:id="67">
    <w:p>
      <w:pPr>
        <w:pStyle w:val="FootnoteText"/>
      </w:pPr>
      <w:r>
        <w:rPr>
          <w:rStyle w:val="FootnoteReference"/>
        </w:rPr>
        <w:footnoteRef/>
      </w:r>
      <w:r>
        <w:t xml:space="preserve"> </w:t>
      </w:r>
      <w:r>
        <w:t xml:space="preserve">[@lambert1813, {t. 1, s. iv, 358}]</w:t>
      </w:r>
      <w:r>
        <w:t xml:space="preserve">.</w:t>
      </w:r>
    </w:p>
  </w:footnote>
  <w:footnote w:id="68">
    <w:p>
      <w:pPr>
        <w:pStyle w:val="FootnoteText"/>
      </w:pPr>
      <w:r>
        <w:rPr>
          <w:rStyle w:val="FootnoteReference"/>
        </w:rPr>
        <w:footnoteRef/>
      </w:r>
      <w:r>
        <w:t xml:space="preserve"> </w:t>
      </w:r>
      <w:r>
        <w:t xml:space="preserve">„Niles Weekly Register”, 25.03.1815, s. 54.</w:t>
      </w:r>
    </w:p>
  </w:footnote>
  <w:footnote w:id="69">
    <w:p>
      <w:pPr>
        <w:pStyle w:val="FootnoteText"/>
      </w:pPr>
      <w:r>
        <w:rPr>
          <w:rStyle w:val="FootnoteReference"/>
        </w:rPr>
        <w:footnoteRef/>
      </w:r>
      <w:r>
        <w:t xml:space="preserve"> </w:t>
      </w:r>
      <w:r>
        <w:t xml:space="preserve">[@vowell1831, {t. 2, s. 324}]</w:t>
      </w:r>
      <w:r>
        <w:t xml:space="preserve">.</w:t>
      </w:r>
    </w:p>
  </w:footnote>
  <w:footnote w:id="70">
    <w:p>
      <w:pPr>
        <w:pStyle w:val="FootnoteText"/>
      </w:pPr>
      <w:r>
        <w:rPr>
          <w:rStyle w:val="FootnoteReference"/>
        </w:rPr>
        <w:footnoteRef/>
      </w:r>
      <w:r>
        <w:t xml:space="preserve"> </w:t>
      </w:r>
      <w:r>
        <w:t xml:space="preserve">[@vigne1833, s. 148]</w:t>
      </w:r>
      <w:r>
        <w:t xml:space="preserve">.</w:t>
      </w:r>
    </w:p>
  </w:footnote>
  <w:footnote w:id="71">
    <w:p>
      <w:pPr>
        <w:pStyle w:val="FootnoteText"/>
      </w:pPr>
      <w:r>
        <w:rPr>
          <w:rStyle w:val="FootnoteReference"/>
        </w:rPr>
        <w:footnoteRef/>
      </w:r>
      <w:r>
        <w:t xml:space="preserve"> </w:t>
      </w:r>
      <w:r>
        <w:t xml:space="preserve">[@robinson2021, s. 37]</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ROMprzypis-tytulowy">
    <w:name w:val="SROM przypis-tytulow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SROM-robocza</dc:subject>
  <cp:keywords/>
  <dcterms:created xsi:type="dcterms:W3CDTF">2026-09-29T01:55:30Z</dcterms:created>
  <dcterms:modified xsi:type="dcterms:W3CDTF">2026-09-29T01:55:30Z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rom-tlumaczenie">
    <vt:lpwstr>Michał Bartosz</vt:lpwstr>
  </property>
  <property fmtid="{D5CDD505-2E9C-101B-9397-08002B2CF9AE}" pid="3" name="title-meta">
    <vt:lpwstr>ostendorf_pl.md</vt:lpwstr>
  </property>
  <property fmtid="{D5CDD505-2E9C-101B-9397-08002B2CF9AE}" pid="4" name="tlumaczenie">
    <vt:lpwstr>Michał Bartosz</vt:lpwstr>
  </property>
</Properties>
</file>