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Śródtytuł"/>
      </w:pPr>
      <w:r>
        <w:t xml:space="preserve">Wstęp</w:t>
      </w:r>
    </w:p>
    <w:p>
      <w:pPr>
        <w:pStyle w:val="TekstBEZWCIĘCIA"/>
      </w:pPr>
      <w:r>
        <w:t xml:space="preserve">Od stuleci Sinti, Romowie i inni, których określano mianem „Cyganów”</w:t>
      </w:r>
      <w:r>
        <w:rPr>
          <w:rStyle w:val="Gwiazdka"/>
        </w:rPr>
        <w:t xml:space="preserve">*</w:t>
      </w:r>
      <w:r>
        <w:t xml:space="preserve">, byli w społeczeństwach europejskich dyskryminowani, stygmatyzowani i wykluczani za sprawą działań państwa. Nie powinno więc chyba dziwić, że antycyganizm jest dziś głęboko zakorzeniony w społeczeństwie, co w ostatnich latach wykazały badania nad uprzedzeniami. W 2018 roku 56 % respondentów „Lipskiego badania autorytaryzmu” (</w:t>
      </w:r>
      <w:r>
        <w:rPr>
          <w:rStyle w:val="Kursywa"/>
        </w:rPr>
        <w:t xml:space="preserve">Leipziger Autoritarismus-Studie</w:t>
      </w:r>
      <w:r>
        <w:t xml:space="preserve">) w Niemczech zgodziło się ze stwierdzeniem: „Przeszkadzałoby mi, gdyby Sinti i Romowie przebywali w mojej okolicy”, a ponad 60 % uważa, że „Sinti i Romowie mają skłonność do przestępczości”</w:t>
      </w:r>
      <w:r>
        <w:footnoteReference w:id="9"/>
      </w:r>
      <w:r>
        <w:t xml:space="preserve">. Te uprzedzenia i resentymenty ludności znajdują odpowiednik w działaniach publicznych. Do dziś wielu Sinti i Romów – którzy albo sami identyfikują się z największą i najbardziej upośledzoną ekonomicznie mniejszością etniczną w Europie, albo są postrzegani jako jej część – jest kryminalizowanych i przedstawianych jako zagrożenie dla bezpieczeństwa publicznego, a zarazem są oni bardziej narażeni na to, że sami padną ofiarą przemocy</w:t>
      </w:r>
      <w:r>
        <w:footnoteReference w:id="10"/>
      </w:r>
      <w:r>
        <w:t xml:space="preserve">. Wizerunek Sinti i Romów związał się z przestępczością w znacznie większym stopniu niż wizerunek jakiejkolwiek innej mniejszości, a praca policji w dużej mierze opierała się i nadal opiera na tym założeniu</w:t>
      </w:r>
      <w:r>
        <w:footnoteReference w:id="11"/>
      </w:r>
      <w:r>
        <w:t xml:space="preserve">.</w:t>
      </w:r>
    </w:p>
    <w:p>
      <w:pPr>
        <w:pStyle w:val="Tekst"/>
      </w:pPr>
      <w:r>
        <w:t xml:space="preserve">Niniejszy artykuł wywodzi współczesny antycyganizm z działań politycznych i państwowych, które przez stulecia polegały na wykluczaniu i prześladowaniu, a tym samym pociągały za sobą (najczęściej przymusową) mobilność. Analizując idee dwóch wpływowych teoretyków polityki, Immanuela Kanta i Karola Marksa, naświetlam dwie różne formy przedstawiania „Cyganów” w historii idei: z jednej strony kształtowanie się urasowionego wizerunku niecywilizowanego i orientalizowanego „Cygana”, z drugiej – społeczną funkcję figury „włóczęgi” w społeczeństwach przedkapitalistycznych i kapitalistycznych. Te linie argumentacji odwołują się do dwóch głównych dyskursów teorii politycznej: do dyskursu o barbarzyńcach i cywilizacji, prowadzonego z perspektywy rządzenia zróżnicowaną ludnością i zabezpieczania stosunków władzy, oraz do dyskursu o ubóstwie, obejmującego polityczne rozważania o polityce ludnościowej.</w:t>
      </w:r>
    </w:p>
    <w:p>
      <w:pPr>
        <w:pStyle w:val="Tekst"/>
      </w:pPr>
      <w:r>
        <w:t xml:space="preserve">W badaniach nad antycyganizmem od dość dawna toczy się dyskusja o relacji między rasowymi a społecznymi konotacjami terminu „Cygan”. Studia historyczne i literaturoznawcze badały przemiany tego terminu w kontekście pracy policji</w:t>
      </w:r>
      <w:r>
        <w:footnoteReference w:id="12"/>
      </w:r>
      <w:r>
        <w:t xml:space="preserve">. Podkreślają one, że do lat 20. XX wieku pojęcie „Cygana” w pracy policji odnosiło się na ogół do statusu społecznego i dotyczyło przede wszystkim zapobiegania nieuprawnionej mobilności</w:t>
      </w:r>
      <w:r>
        <w:footnoteReference w:id="13"/>
      </w:r>
      <w:r>
        <w:t xml:space="preserve">. Sugerują, że policja posługiwała się pojęciem „Cygana” głównie jako społecznym przeciwobrazem, służącym normalizacji kultury mieszczańskiej i regulowaniu nomadyzmu/osiadłości</w:t>
      </w:r>
      <w:r>
        <w:footnoteReference w:id="14"/>
      </w:r>
      <w:r>
        <w:t xml:space="preserve">. Dopiero później „Cyganów” zaczęto postrzegać w pracy policji jako kategorię rasową, co doprowadziło ostatecznie do prześladowań i eksterminacji w okresie narodowego socjalizmu. Inni autorzy, na przykład socjolog Wulf D. Hund, dostrzegli „przemianę terminu Cygan z kategorii społecznej w rasową”</w:t>
      </w:r>
      <w:r>
        <w:footnoteReference w:id="15"/>
      </w:r>
      <w:r>
        <w:t xml:space="preserve"> </w:t>
      </w:r>
      <w:r>
        <w:t xml:space="preserve">już w połowie XVIII wieku. W niniejszym artykule podważam tezę, że kategorie społeczne i rasowe dają się ściśle rozdzielić i że w kontekście antycyganizmu jedne przekształciły się w drugie. Twierdzę raczej, że są one różnymi interpretacjami i uzasadnieniami tych samych decyzji politycznych w dziedzinie polityki bezpieczeństwa i że często rozgrywano je jedne przeciwko drugim.</w:t>
      </w:r>
    </w:p>
    <w:p>
      <w:pPr>
        <w:pStyle w:val="Tekst"/>
      </w:pPr>
      <w:r>
        <w:t xml:space="preserve">Artykuł otwierają dwie części poświęcone pojęciu „Cygana” w teorii politycznej. Pierwsza przygląda się bliżej wypowiedziom Kanta o „Cyganach” w kontekście jego teorii podmiotowości i rasy. Druga omawia ujęcie włóczęgostwa u Marksa jako kwestii społecznej, która pojawiła się wraz z początkami manufaktury. Figurą ciemnoskórego i prymitywnego „Cygana”, wywodzącego się z Indii, Kant kreśli urasowiony obraz, popularny w jego czasach w całym zachodnim świecie akademickim. Perspektywa Kanta pozwala dziś zrozumieć, jak kwestie w gruncie rzeczy polityczne mogą zostać przesłonięte rzekomo niezmiennymi uwarunkowaniami kulturowymi czy biologicznymi. Marks natomiast podaje zupełnie inne – ani rasowe, ani kulturowe – wyjaśnienia polityki wykluczenia wobec „włóczęgów”, które można przenieść na kontekst antycyganizmu. O ile Kant powiela europejski, orientalistyczny obraz „Cygana”, o tyle Marks dostarcza narzędzi pozwalających ten obraz przemyśleć na nowo, gdyż objaśnia jego funkcję społeczno-ekonomiczną.</w:t>
      </w:r>
    </w:p>
    <w:p>
      <w:pPr>
        <w:pStyle w:val="Tekst"/>
      </w:pPr>
      <w:r>
        <w:t xml:space="preserve">Na tych teoretycznych podstawach kolejna część omawia wczesnonowożytną historię i ustawodawstwo niemieckie dotyczące pojęcia „Cygana” przez pryzmat zarówno ujęcia kantowskiego, jak i marksowskiego. Część ostatnia przynosi wstępne wskazówki dotyczące splatania się argumentacji społecznych i rasowych w antycygańskich debatach powojennych i podsuwa pomysły na współczesne podejście do analizy antycyganizmu.</w:t>
      </w:r>
    </w:p>
    <w:p>
      <w:pPr>
        <w:pStyle w:val="Śródtytuł"/>
      </w:pPr>
      <w:r>
        <w:t xml:space="preserve">Kant: „Cyganie” jako nierozumna rasa</w:t>
      </w:r>
    </w:p>
    <w:p>
      <w:pPr>
        <w:pStyle w:val="TekstBEZWCIĘCIA"/>
      </w:pPr>
      <w:r>
        <w:t xml:space="preserve">W ostatnim czasie pisma Kanta często krytykuje się jako rasistowskie albo co najmniej szerzące urasowione wyobrażenia</w:t>
      </w:r>
      <w:r>
        <w:footnoteReference w:id="16"/>
      </w:r>
      <w:r>
        <w:t xml:space="preserve">. Przedmiotem sporu jest pytanie, czy jego teorię rasy należy uznać za integralną część jego dzieła filozoficznego, czy też jedynie za gorzką uwagę na marginesie. Część badaczy krytykuje jego pisma w całości</w:t>
      </w:r>
      <w:r>
        <w:footnoteReference w:id="17"/>
      </w:r>
      <w:r>
        <w:t xml:space="preserve">, inni próbują rozwiązać problem, twierdząc, że problematyczne były jedynie jego wczesne teksty, napisane przed połową lat 90. XVIII wieku</w:t>
      </w:r>
      <w:r>
        <w:footnoteReference w:id="18"/>
      </w:r>
      <w:r>
        <w:t xml:space="preserve">. Jeszcze inni uważają, że jego pisma antropologiczne nie mają wpływu na pisma moralne czy prawne</w:t>
      </w:r>
      <w:r>
        <w:footnoteReference w:id="19"/>
      </w:r>
      <w:r>
        <w:t xml:space="preserve">. Wszystkie te studia koncentrują się na rasizmie kolonialnym i niewiele uwagi poświęcają wypowiedziom Kanta o „Cyganach” jako szczególnej grupie</w:t>
      </w:r>
      <w:r>
        <w:footnoteReference w:id="20"/>
      </w:r>
      <w:r>
        <w:t xml:space="preserve">.</w:t>
      </w:r>
    </w:p>
    <w:p>
      <w:pPr>
        <w:pStyle w:val="Tekst"/>
      </w:pPr>
      <w:r>
        <w:t xml:space="preserve">Tylko nieliczni badacze – wśród nich Kurt Röttgers, Wulf D. Hund, a ostatnio Joris van Gorkom – zajęli się już fragmentami, które Kant napisał o „Cyganach”</w:t>
      </w:r>
      <w:r>
        <w:footnoteReference w:id="21"/>
      </w:r>
      <w:r>
        <w:t xml:space="preserve">. Röttgers, którego nie interesuje rasizm w tekstach Kanta, rozważa przede wszystkim, dlaczego Kant tak niewiele zajmował się tematem „Cyganów”, i twierdzi, że jego milczenie jest przejawem „bardzo uderzającego wyparcia wiedzy”</w:t>
      </w:r>
      <w:r>
        <w:footnoteReference w:id="22"/>
      </w:r>
      <w:r>
        <w:t xml:space="preserve">. Dowodzi, że Kant świadomie pominął ten temat, ponieważ skonfrontowałby go on z alternatywą wobec zachodniej, opartej na idei cywilizacji koncepcji postępu</w:t>
      </w:r>
      <w:r>
        <w:footnoteReference w:id="23"/>
      </w:r>
      <w:r>
        <w:t xml:space="preserve">. Już sama ta interpretacja zdradza problematyczne romantyzowanie idei „Cyganów”, kojarzonych z alternatywnym stylem życia i alternatywną koncepcją wolności. Mimo to Röttgers przynosi cenne informacje o tle historycznym i najbliższym otoczeniu Kanta, by dowieść, że Kant musiał zetknąć się z tym tematem i rozmyślnie o nim nie pisał. Röttgers wskazuje na edykt z 1725 roku, odnowiony w 1739 roku, który generalnie zakazywał „Cyganom” pobytu w Prusach i groził im karą szubienicy</w:t>
      </w:r>
      <w:r>
        <w:footnoteReference w:id="24"/>
      </w:r>
      <w:r>
        <w:t xml:space="preserve">. Tematem tym wyraźnie zajmował się profesor filozofii praktycznej w Królewcu i jeden z bliskich kolegów Kanta, Christian Jakob Kraus. Od 1784 roku prowadził on empiryczny projekt badawczy, obejmujący rozmowy z około 40 miejscowymi więźniami, aresztowanymi jako „Cyganie” na mocy edyktu z 1725 roku</w:t>
      </w:r>
      <w:r>
        <w:footnoteReference w:id="25"/>
      </w:r>
      <w:r>
        <w:t xml:space="preserve">. Röttgers twierdzi, że Kant musiał wiedzieć o projekcie Krausa, który w 1793 roku częściowo opublikował Johann Erich Biester, wydawca słynnego pisma „Berliner Monatsschrift”</w:t>
      </w:r>
      <w:r>
        <w:footnoteReference w:id="26"/>
      </w:r>
      <w:r>
        <w:t xml:space="preserve">. Według Röttgersa Kant i Kraus regularnie rozmawiali o swojej pracy przy obiedzie</w:t>
      </w:r>
      <w:r>
        <w:footnoteReference w:id="27"/>
      </w:r>
      <w:r>
        <w:t xml:space="preserve">, a Kant stale publikował w czasopiśmie Biestera. Choć nie sposób sprawdzić, czy rozmowy te się odbywały, dobrze wiadomo, że kwestia postępowania z „Cyganami” była przedmiotem ożywionej debaty wśród współczesnych Kantowi</w:t>
      </w:r>
      <w:r>
        <w:footnoteReference w:id="28"/>
      </w:r>
      <w:r>
        <w:t xml:space="preserve">.</w:t>
      </w:r>
    </w:p>
    <w:p>
      <w:pPr>
        <w:pStyle w:val="Tekst"/>
      </w:pPr>
      <w:r>
        <w:t xml:space="preserve">Co więcej, jak pokażą jego pisma, Kant był dobrze poinformowany o najnowszych badaniach i hipotezach dotyczących domniemanego pochodzenia „Cyganów”. Dopiero w latach 80. XVIII wieku popularność zyskała oparta na języku teoria pochodzenia, wedle której „Cyganie” przywędrowali z Indii. Choć wcześniej ukazało się kilka publikacji na ten temat, wśród nich praca Christiana Wilhelma Büttnera z 1771 roku</w:t>
      </w:r>
      <w:r>
        <w:footnoteReference w:id="29"/>
      </w:r>
      <w:r>
        <w:t xml:space="preserve">, powszechnie wiadomo, że najbardziej wpływową książkę na ten temat opublikował w 1783 roku historyk Heinrich Moritz Gottlieb Grellmann</w:t>
      </w:r>
      <w:r>
        <w:footnoteReference w:id="30"/>
      </w:r>
      <w:r>
        <w:t xml:space="preserve">. Wkrótce po ukazaniu się zdobyła ona wielką popularność, co zaowocowało drugim wydaniem w 1787 roku, i jeszcze przed przełomem XVIII i XIX wieku została przełożona na kilka języków</w:t>
      </w:r>
      <w:r>
        <w:footnoteReference w:id="31"/>
      </w:r>
      <w:r>
        <w:t xml:space="preserve">. Historycy Martin Ruch i Wim Willems przekonująco dowiedli, że Grellmann wytworzył w dużej mierze urasowiony, orientalistyczny obraz „Cyganów” jako jednolitego narodu przybyłego z Indii, który na całe stulecia wpłynął na badania nad „Cyganami”</w:t>
      </w:r>
      <w:r>
        <w:footnoteReference w:id="32"/>
      </w:r>
      <w:r>
        <w:t xml:space="preserve">. Grellmann opierał się w znacznej mierze na relacjach z podróży</w:t>
      </w:r>
      <w:r>
        <w:footnoteReference w:id="33"/>
      </w:r>
      <w:r>
        <w:t xml:space="preserve">, które gdzie indziej krytykowano jako problematyczne źródło teorii rasy Kanta</w:t>
      </w:r>
      <w:r>
        <w:footnoteReference w:id="34"/>
      </w:r>
      <w:r>
        <w:t xml:space="preserve">. Choć w kontekście „Cyganów” Kant nie wymienia żadnych źródeł, najprawdopodobniej odwoływał się do hipotezy językowej Grellmanna. Jak pokażę, Kant powielał nawet inne twierdzenia Grellmanna. Posunęłabym się zatem nawet do twierdzenia, że to implikacje dzieła Grellmanna i ich nieustanne powielanie w późniejszym okresie w pierwszej kolejności odpowiadały za urasowiony obraz „Cyganów” obecny również u Kanta.</w:t>
      </w:r>
    </w:p>
    <w:p>
      <w:pPr>
        <w:pStyle w:val="Tekst"/>
      </w:pPr>
      <w:r>
        <w:t xml:space="preserve">Drugi badacz, Hund, znacznie bardziej niż Röttgers zainteresowany rasizmem w pismach Kanta, dowodzi wbrew Röttgersowi, że nie było u Kanta żadnego wyparcia wiedzy, a jego myśli o „Cyganach” odgrywają w jego teorii rasy kluczową rolę</w:t>
      </w:r>
      <w:r>
        <w:footnoteReference w:id="35"/>
      </w:r>
      <w:r>
        <w:t xml:space="preserve">. Twierdzi, że Kant wybrał „Cyganów” jako przykład, by pokazać, że cechy rasowe nieodwołalnie wyznaczają możliwości rozwoju cywilizacyjnego</w:t>
      </w:r>
      <w:r>
        <w:footnoteReference w:id="36"/>
      </w:r>
      <w:r>
        <w:t xml:space="preserve">. W badaniach nad teorią rasy Kanta leżącą u jej podstaw argumentację postrzega się istotnie jako zwrot: o ile we wczesnym tekście</w:t>
      </w:r>
      <w:r>
        <w:t xml:space="preserve"> </w:t>
      </w:r>
      <w:r>
        <w:rPr>
          <w:rStyle w:val="Kursywa"/>
        </w:rPr>
        <w:t xml:space="preserve">O różnorodnych rasach ludzkich</w:t>
      </w:r>
      <w:r>
        <w:t xml:space="preserve"> </w:t>
      </w:r>
      <w:r>
        <w:t xml:space="preserve">(</w:t>
      </w:r>
      <w:r>
        <w:rPr>
          <w:rStyle w:val="Kursywa"/>
        </w:rPr>
        <w:t xml:space="preserve">Von den verschiedenen Racen der Menschen</w:t>
      </w:r>
      <w:r>
        <w:t xml:space="preserve">, 1775) Kant wciąż obarcza klimat odpowiedzialnością za różnice między „rasami”, o tyle w późniejszym</w:t>
      </w:r>
      <w:r>
        <w:t xml:space="preserve"> </w:t>
      </w:r>
      <w:r>
        <w:rPr>
          <w:rStyle w:val="Kursywa"/>
        </w:rPr>
        <w:t xml:space="preserve">Określeniu pojęcia rasy ludzkiej</w:t>
      </w:r>
      <w:r>
        <w:t xml:space="preserve"> </w:t>
      </w:r>
      <w:r>
        <w:t xml:space="preserve">(</w:t>
      </w:r>
      <w:r>
        <w:rPr>
          <w:rStyle w:val="Kursywa"/>
        </w:rPr>
        <w:t xml:space="preserve">Bestimmung des Begriffs einer Menschenrace</w:t>
      </w:r>
      <w:r>
        <w:t xml:space="preserve">, 1785) stwierdza wprost, że cechy rasowe są dziedziczone niezależnie od środowiska i są niezmienne</w:t>
      </w:r>
      <w:r>
        <w:footnoteReference w:id="37"/>
      </w:r>
      <w:r>
        <w:t xml:space="preserve">. W obu ujęciach Kant zabiera głos w sporze między monogenizmem a poligenizmem, opowiadając się po stronie monogenistów, którzy uważali, że ludzkość wywodzi się z jednego pnia, podczas gdy poligeniści</w:t>
      </w:r>
      <w:r>
        <w:footnoteReference w:id="38"/>
      </w:r>
      <w:r>
        <w:t xml:space="preserve"> </w:t>
      </w:r>
      <w:r>
        <w:t xml:space="preserve">bronili poglądu o wielu początkach, a zatem o istnieniu kilku gatunków (a nie tylko ras) ludzi. Jak ujął to historyk Christian Geulen, spór o to, który z tych tekstów jest „bardziej rasistowski”, chybia celu: w późniejszych dziejach oba ujęcia posłużyły do uzasadniania rasistowskiego myślenia i działania. Kiedy jednak Kant o tym pisał, ujęcia te można było postrzegać raczej jako próbę wyjaśnienia pewnego porządku społecznego przez naturę (zamiast przez religię) niż jako próbę wytworzenia porządku społecznego przez kontrolowanie natury</w:t>
      </w:r>
      <w:r>
        <w:footnoteReference w:id="39"/>
      </w:r>
      <w:r>
        <w:t xml:space="preserve">. Właśnie to kantowskie wyjaśnienie, dlaczego pewną grupę ludzi postrzegano jako grupę odbiegającą od normy i nazywano „Cyganami”, ma kluczowe znaczenie dla mojej argumentacji w niniejszym artykule.</w:t>
      </w:r>
    </w:p>
    <w:p>
      <w:pPr>
        <w:pStyle w:val="Tekst"/>
      </w:pPr>
      <w:r>
        <w:t xml:space="preserve">Jako jeden z najbardziej wpływowych filozofów oświecenia Kant na nowo przemyślał możliwości i granice ludzkiego umysłu. Uwagi Kanta o „Cyganach” należą do opisanej wyżej teorii rasy i wiążą się z jego myślami o człowieczeństwie i cywilizacji w ogóle. W opublikowanej wersji swoich wykładów antropologicznych z 1798 roku Kant formułuje następującą ogólną analizę przeznaczenia człowieka:</w:t>
      </w:r>
    </w:p>
    <w:p>
      <w:pPr>
        <w:pStyle w:val="Cytat"/>
      </w:pPr>
      <w:r>
        <w:t xml:space="preserve">Człowiek jest przez swój rozum przeznaczony do tego, by żyć w społeczeństwie z ludźmi i w nim, za sprawą sztuki i nauk,</w:t>
      </w:r>
      <w:r>
        <w:t xml:space="preserve"> </w:t>
      </w:r>
      <w:r>
        <w:rPr>
          <w:rStyle w:val="Kursywa"/>
        </w:rPr>
        <w:t xml:space="preserve">kultywować</w:t>
      </w:r>
      <w:r>
        <w:t xml:space="preserve"> </w:t>
      </w:r>
      <w:r>
        <w:t xml:space="preserve">się,</w:t>
      </w:r>
      <w:r>
        <w:t xml:space="preserve"> </w:t>
      </w:r>
      <w:r>
        <w:rPr>
          <w:rStyle w:val="Kursywa"/>
        </w:rPr>
        <w:t xml:space="preserve">cywilizować</w:t>
      </w:r>
      <w:r>
        <w:t xml:space="preserve"> </w:t>
      </w:r>
      <w:r>
        <w:t xml:space="preserve">i</w:t>
      </w:r>
      <w:r>
        <w:t xml:space="preserve"> </w:t>
      </w:r>
      <w:r>
        <w:rPr>
          <w:rStyle w:val="Kursywa"/>
        </w:rPr>
        <w:t xml:space="preserve">moralizować</w:t>
      </w:r>
      <w:r>
        <w:t xml:space="preserve">; jakkolwiek wielka byłaby jego zwierzęca skłonność, by</w:t>
      </w:r>
      <w:r>
        <w:t xml:space="preserve"> </w:t>
      </w:r>
      <w:r>
        <w:rPr>
          <w:rStyle w:val="Kursywa"/>
        </w:rPr>
        <w:t xml:space="preserve">biernie</w:t>
      </w:r>
      <w:r>
        <w:t xml:space="preserve"> </w:t>
      </w:r>
      <w:r>
        <w:t xml:space="preserve">oddawać się ponętom wygody i dostatniego życia, które nazywa szczęśliwością, przeznaczony jest raczej do tego, by</w:t>
      </w:r>
      <w:r>
        <w:t xml:space="preserve"> </w:t>
      </w:r>
      <w:r>
        <w:rPr>
          <w:rStyle w:val="Kursywa"/>
        </w:rPr>
        <w:t xml:space="preserve">czynnie</w:t>
      </w:r>
      <w:r>
        <w:t xml:space="preserve">, w walce z przeszkodami, jakie przylgnęły do niego wskutek surowości jego natury, uczynić się godnym człowieczeństwa</w:t>
      </w:r>
      <w:r>
        <w:footnoteReference w:id="40"/>
      </w:r>
      <w:r>
        <w:t xml:space="preserve">.</w:t>
      </w:r>
    </w:p>
    <w:p>
      <w:pPr>
        <w:pStyle w:val="Tekst"/>
      </w:pPr>
      <w:r>
        <w:t xml:space="preserve">To, co opisuje tu Kant, jest streszczeniem oświeceniowej idei, zgodnie z którą ludzkość przechodzi proces cywilizowania się i postępuje naprzód w dziejach. Kant prezentuje nowoczesny, antropocentryczny obraz świata, w którego centrum stoi aktywny człowiek, podczas gdy w średniowieczu boski porządek stawiał ludzi w pozycji biernej. Później filozofowie tacy jak Max Horkheimer i Theodor W. Adorno krytykowali właśnie nacisk na zmaganie się z przyrodą i panowanie nad nią [</w:t>
      </w:r>
      <w:r>
        <w:rPr>
          <w:rStyle w:val="Kursywa"/>
        </w:rPr>
        <w:t xml:space="preserve">Naturbeherrschung</w:t>
      </w:r>
      <w:r>
        <w:t xml:space="preserve">] jako zasadniczy problem nowoczesności. Jedno ze źródeł resentymentu wśród ludzi dostrzegają w zmaganiu się podmiotów z własną naturą wewnętrzną</w:t>
      </w:r>
      <w:r>
        <w:footnoteReference w:id="41"/>
      </w:r>
      <w:r>
        <w:t xml:space="preserve">.</w:t>
      </w:r>
    </w:p>
    <w:p>
      <w:pPr>
        <w:pStyle w:val="Tekst"/>
      </w:pPr>
      <w:r>
        <w:t xml:space="preserve">Choć idea cywilizacji Kanta brzmi uniwersalnie, Kant zauważa zarazem, że nie wszystkie „rasy” i „narody” osiągnęły ten stan</w:t>
      </w:r>
      <w:r>
        <w:footnoteReference w:id="42"/>
      </w:r>
      <w:r>
        <w:t xml:space="preserve">. Jego zdaniem Europejczycy rozwinęli się najbliżej jego ideału. Podobnie jak większość współczesnych mu ludzi, nie uważa „Cyganów” za Europejczyków. Zakłada natomiast, że są oni Indusami [</w:t>
      </w:r>
      <w:r>
        <w:rPr>
          <w:rStyle w:val="Kursywa"/>
        </w:rPr>
        <w:t xml:space="preserve">Indier</w:t>
      </w:r>
      <w:r>
        <w:t xml:space="preserve">] należącymi do narodów azjatyckich, a tym samym nawiązuje do najnowszej spośród licznych teorii pochodzenia „Cyganów” w jego czasach. Teoria indyjskiego pochodzenia pojawiła się dopiero w połowie XVIII wieku, zanim w latach 70. i 80. XIX wieku powiązano ją z badaniami językoznawczymi, i zaczęła wypierać wyobrażenie, że „Cyganie” pochodzą z „Egiptu” – teorię, która przetrwała do dziś w angielskim terminie</w:t>
      </w:r>
      <w:r>
        <w:t xml:space="preserve"> </w:t>
      </w:r>
      <w:r>
        <w:rPr>
          <w:rStyle w:val="Kursywa"/>
        </w:rPr>
        <w:t xml:space="preserve">gypsy</w:t>
      </w:r>
      <w:r>
        <w:footnoteReference w:id="43"/>
      </w:r>
      <w:r>
        <w:t xml:space="preserve">. W ujęciu Kanta narody azjatyckie</w:t>
      </w:r>
      <w:r>
        <w:footnoteReference w:id="44"/>
      </w:r>
      <w:r>
        <w:t xml:space="preserve"> </w:t>
      </w:r>
      <w:r>
        <w:t xml:space="preserve">nie byłyby w stanie osiągnąć doskonałości ze względu na swoje zdolności poznawcze: „Narody azjatyckie zatrzymują się tam, gdzie poszerzanie ich doskonałości musiałoby się dokonywać na podstawie pojęć, a nie jedynie naoczności”</w:t>
      </w:r>
      <w:r>
        <w:footnoteReference w:id="45"/>
      </w:r>
      <w:r>
        <w:t xml:space="preserve">. Posługuje się więc swoim pojęciem rozumu, by w ogólniejszy sposób objaśnić różne zdolności do rozwoju człowieka.</w:t>
      </w:r>
    </w:p>
    <w:p>
      <w:pPr>
        <w:pStyle w:val="Tekst"/>
      </w:pPr>
      <w:r>
        <w:t xml:space="preserve">O samych „Cyganach” Kant wspomina zaledwie w kilku fragmentach. We wczesnym, dotyczącym rasy tekście</w:t>
      </w:r>
      <w:r>
        <w:t xml:space="preserve"> </w:t>
      </w:r>
      <w:r>
        <w:rPr>
          <w:rStyle w:val="Kursywa"/>
        </w:rPr>
        <w:t xml:space="preserve">O różnorodnych rasach ludzkich</w:t>
      </w:r>
      <w:r>
        <w:t xml:space="preserve"> </w:t>
      </w:r>
      <w:r>
        <w:t xml:space="preserve">(1775), w którym przedstawia klimatyczną teorię rasy</w:t>
      </w:r>
      <w:r>
        <w:footnoteReference w:id="46"/>
      </w:r>
      <w:r>
        <w:t xml:space="preserve">, mówi o ich barwie skóry, twierdząc, że „oliwkowożółta barwa skóry Indusa” to „prawdziwa barwa cygańska”</w:t>
      </w:r>
      <w:r>
        <w:footnoteReference w:id="47"/>
      </w:r>
      <w:r>
        <w:t xml:space="preserve">. Posługuje się tu ich barwą skóry, by powiązać ich z Indiami. Znacznie później, w 1793 roku, podejmuje to podejście etnograficzne i dodaje do niego wymiar społeczny, odwołując się do indyjskiego systemu kastowego: w przypisie formułuje hipotezę, że „Cyganie” to w istocie „Hindusi” wywodzący się z najniższej kasty – „pariasów”</w:t>
      </w:r>
      <w:r>
        <w:footnoteReference w:id="48"/>
      </w:r>
      <w:r>
        <w:t xml:space="preserve">. Choć Kant nie podaje źródła, prawdopodobnie odwołuje się albo do Grellmanna, albo do tego, co za sprawą książki Grellmanna mogło już stać się „wiedzą powszechną”</w:t>
      </w:r>
      <w:r>
        <w:footnoteReference w:id="49"/>
      </w:r>
      <w:r>
        <w:t xml:space="preserve">. O ile w ówczesnej Europie zmiana statusu społecznego była niemal niemożliwa, o tyle kasty w Indiach oznaczały system społeczny jeszcze bardziej sztywny.</w:t>
      </w:r>
    </w:p>
    <w:p>
      <w:pPr>
        <w:pStyle w:val="Tekst"/>
      </w:pPr>
      <w:r>
        <w:t xml:space="preserve">Dwa nieco obszerniejsze fragmenty ilustrują, jak Kant łączy konstrukty „rasy” i „Cyganów”. Pierwszy, z</w:t>
      </w:r>
      <w:r>
        <w:t xml:space="preserve"> </w:t>
      </w:r>
      <w:r>
        <w:rPr>
          <w:rStyle w:val="Kursywa"/>
        </w:rPr>
        <w:t xml:space="preserve">Określenia pojęcia rasy ludzkiej</w:t>
      </w:r>
      <w:r>
        <w:t xml:space="preserve"> </w:t>
      </w:r>
      <w:r>
        <w:t xml:space="preserve">(1785), podkreśla niemożność zmiany ras, które już się wykształciły. Posługuje się „Cyganami” jako przykładem, a według Hunda stanowią oni kluczowy dowód na to, że przystosowanie się do otoczenia byłoby niemożliwe nawet po upływie stuleci:</w:t>
      </w:r>
    </w:p>
    <w:p>
      <w:pPr>
        <w:pStyle w:val="Cytat"/>
      </w:pPr>
      <w:r>
        <w:t xml:space="preserve">[T]yle jednak jest pewne, że obecnie istniejące rasy nie mogłyby już wygasnąć, gdyby zapobiec wszelkiemu ich wzajemnemu mieszaniu się. Najwyraźniejszego dowodu dostarczają przebywający wśród nas Cyganie, o których udowodniono, że pod względem pochodzenia [</w:t>
      </w:r>
      <w:r>
        <w:rPr>
          <w:rStyle w:val="Kursywa"/>
        </w:rPr>
        <w:t xml:space="preserve">ihrem Abstamme nach</w:t>
      </w:r>
      <w:r>
        <w:t xml:space="preserve">] są Indusami. Ich obecność w Europie można prześledzić daleko wstecz, poza trzysta lat, a wciąż nie wyrodzili się ani trochę z postaci swoich przodków</w:t>
      </w:r>
      <w:r>
        <w:footnoteReference w:id="50"/>
      </w:r>
      <w:r>
        <w:t xml:space="preserve">.</w:t>
      </w:r>
    </w:p>
    <w:p>
      <w:pPr>
        <w:pStyle w:val="Tekst"/>
      </w:pPr>
      <w:r>
        <w:t xml:space="preserve">Kant zakłada tu ponadczasowość „Cyganów”, która ostatecznie oznaczałaby ich niejednoczesność z europejskim postępem, skoro w ujęciu Kanta cywilizacja i oderwanie się od natury są przeznaczeniem rodzaju ludzkiego, a nie wszystkie „rasy” są w stanie je osiągnąć.</w:t>
      </w:r>
    </w:p>
    <w:p>
      <w:pPr>
        <w:pStyle w:val="Tekst"/>
      </w:pPr>
      <w:r>
        <w:t xml:space="preserve">W drugim dłuższym fragmencie o „Cyganach”, z rozprawy</w:t>
      </w:r>
      <w:r>
        <w:t xml:space="preserve"> </w:t>
      </w:r>
      <w:r>
        <w:rPr>
          <w:rStyle w:val="Kursywa"/>
        </w:rPr>
        <w:t xml:space="preserve">O użytku zasad teleologicznych w filozofii</w:t>
      </w:r>
      <w:r>
        <w:t xml:space="preserve"> </w:t>
      </w:r>
      <w:r>
        <w:t xml:space="preserve">(</w:t>
      </w:r>
      <w:r>
        <w:rPr>
          <w:rStyle w:val="Kursywa"/>
        </w:rPr>
        <w:t xml:space="preserve">Über den Gebrauch teleologischer Principien in der Philosophie</w:t>
      </w:r>
      <w:r>
        <w:t xml:space="preserve">, 1788), Kant podkreśla niezmienność barwy skóry z przyczyn biologicznych i po raz pierwszy wiąże pochodzenie „Cyganów” z ich językiem (odwołując się zapewne do hipotezy Grellmanna):</w:t>
      </w:r>
    </w:p>
    <w:p>
      <w:pPr>
        <w:pStyle w:val="Cytat"/>
      </w:pPr>
      <w:r>
        <w:t xml:space="preserve">To, że są oni [„Cyganie”] ludem</w:t>
      </w:r>
      <w:r>
        <w:t xml:space="preserve"> </w:t>
      </w:r>
      <w:r>
        <w:rPr>
          <w:rStyle w:val="Kursywa"/>
        </w:rPr>
        <w:t xml:space="preserve">indyjskim</w:t>
      </w:r>
      <w:r>
        <w:t xml:space="preserve">, dowodzi ich język, niezależnie od barwy skóry. Tę jednak natura zachowuje tak uparcie, że choć ich obecność w Europie można prześledzić wstecz aż do dwunastu pokoleń, wciąż występuje ona tak w pełni, że gdyby dorastali w Indiach, najpewniej nie znaleziono by żadnej różnicy między nimi a tamtejszymi krajowcami. […] Uznać jednak ich barwę za zwykłą odmianę, jak na przykład barwę śniadego Hiszpana w porównaniu z Duńczykiem, znaczy wątpić w piętno natury</w:t>
      </w:r>
      <w:r>
        <w:footnoteReference w:id="51"/>
      </w:r>
      <w:r>
        <w:t xml:space="preserve">.</w:t>
      </w:r>
    </w:p>
    <w:p>
      <w:pPr>
        <w:pStyle w:val="Tekst"/>
      </w:pPr>
      <w:r>
        <w:t xml:space="preserve">O ile śniadą cerę Hiszpana Kant uznaje za zwykłą odmianę, o tyle w przypadku „Cygana” uważa ją za niezmienny znak pochodzenia. Co więcej, ponownie porusza kwestię zawieszenia tego, co było dla niego oczywistą fizyczną odmiennością „Cyganów”: w Indiach nie wyróżnialiby się. Zaledwie dwie strony dalej wyjaśnia, że „rasy”, raz wykształcone i przystosowane do określonego klimatu, byłyby fizycznie i umysłowo niezdolne do przystosowania się do nowego terytorium. Posługuje się „Cyganami” jako przykładem ludu wysiedlonego, by pokazać, że nawet po długim czasie spędzonym w Europie nie byliby w stanie „być osiadłymi rolnikami [</w:t>
      </w:r>
      <w:r>
        <w:rPr>
          <w:rStyle w:val="Kursywa"/>
        </w:rPr>
        <w:t xml:space="preserve">ansäßige Landanbauer</w:t>
      </w:r>
      <w:r>
        <w:t xml:space="preserve">] ani wyrobnikami”</w:t>
      </w:r>
      <w:r>
        <w:footnoteReference w:id="52"/>
      </w:r>
      <w:r>
        <w:t xml:space="preserve">. Rolnictwo, które Kant wskazuje tu jako jedną z rzeczy, z jakimi „Cyganie” nie byli obeznani, było w filozofii oświecenia tematem gorąco dyskutowanym, ponieważ rozważano je w związku z ustanowieniem państwa i zróżnicowanego, rozwiniętego społeczeństwa</w:t>
      </w:r>
      <w:r>
        <w:footnoteReference w:id="53"/>
      </w:r>
      <w:r>
        <w:t xml:space="preserve">. Argumentacja Kanta daje zatem podstawę do twierdzenia, że każda „rasa” ma swoje miejsce na świecie, i można ją odczytać jako subtelne opowiedzenie się za wykluczającą koncepcją państwa narodowego.</w:t>
      </w:r>
    </w:p>
    <w:p>
      <w:pPr>
        <w:pStyle w:val="Tekst"/>
      </w:pPr>
      <w:r>
        <w:t xml:space="preserve">Jako przedstawiciel XVIII wieku Kant opierał się na badaniach nad językiem i pochodzeniem grupy nazywanej „Cyganami”, które spopularyzował Grellmann. W tekście Kanta znajdujemy wyobrażenie „Cyganów” jako jednorodnego i prymitywnego ludu o własnym języku i kulturze, powiązanych z cechami biologicznymi i widocznymi. Kant posługuje się tymi „ustaleniami”, by wyjaśnić, że „Cyganie” żyją inaczej i nie przejęli europejskiego sposobu życia, ponieważ jego zdaniem nie są zdolni do cywilizacji.</w:t>
      </w:r>
    </w:p>
    <w:p>
      <w:pPr>
        <w:pStyle w:val="Śródtytuł"/>
      </w:pPr>
      <w:r>
        <w:t xml:space="preserve">Marks: wytwarzanie włóczęgów</w:t>
      </w:r>
    </w:p>
    <w:p>
      <w:pPr>
        <w:pStyle w:val="TekstBEZWCIĘCIA"/>
      </w:pPr>
      <w:r>
        <w:t xml:space="preserve">Marks nie zajmuje się w swoim dziele wprost statusem „Cyganów”, mimo to warto przyjrzeć się jego tekstom, ponieważ podejmuje on problematykę włóczęgostwa (</w:t>
      </w:r>
      <w:r>
        <w:rPr>
          <w:rStyle w:val="Kursywa"/>
        </w:rPr>
        <w:t xml:space="preserve">vagrancy</w:t>
      </w:r>
      <w:r>
        <w:t xml:space="preserve">,</w:t>
      </w:r>
      <w:r>
        <w:t xml:space="preserve"> </w:t>
      </w:r>
      <w:r>
        <w:rPr>
          <w:rStyle w:val="Kursywa"/>
        </w:rPr>
        <w:t xml:space="preserve">vagabondage</w:t>
      </w:r>
      <w:r>
        <w:t xml:space="preserve">) – zjawiska często kojarzonego z „Cyganami” – jako problemu społecznego. Nie ujmuje włóczęgostwa w związku z rasą, lecz jako zjawisko spowodowane przez rządzących i utrwalone w strukturach społeczno-ekonomicznych, które prowadziły do pauperyzmu i ubóstwa. Choć niektórzy badacze zwracali uwagę na podobieństwa między ogólnym obrazem „Cyganów” a marksowskimi opisami lumpenproletariatu w</w:t>
      </w:r>
      <w:r>
        <w:t xml:space="preserve"> </w:t>
      </w:r>
      <w:r>
        <w:rPr>
          <w:rStyle w:val="Kursywa"/>
        </w:rPr>
        <w:t xml:space="preserve">Osiemnastym brumaire’a</w:t>
      </w:r>
      <w:r>
        <w:footnoteReference w:id="54"/>
      </w:r>
      <w:r>
        <w:t xml:space="preserve">, dla analizy włóczęgostwa bardziej przydatne jest zagłębienie się w jego główne dzieło,</w:t>
      </w:r>
      <w:r>
        <w:t xml:space="preserve"> </w:t>
      </w:r>
      <w:r>
        <w:rPr>
          <w:rStyle w:val="Kursywa"/>
        </w:rPr>
        <w:t xml:space="preserve">Kapitał</w:t>
      </w:r>
      <w:r>
        <w:t xml:space="preserve">.</w:t>
      </w:r>
    </w:p>
    <w:p>
      <w:pPr>
        <w:pStyle w:val="Tekst"/>
      </w:pPr>
      <w:r>
        <w:t xml:space="preserve">W</w:t>
      </w:r>
      <w:r>
        <w:t xml:space="preserve"> </w:t>
      </w:r>
      <w:r>
        <w:rPr>
          <w:rStyle w:val="Kursywa"/>
        </w:rPr>
        <w:t xml:space="preserve">Kapitale</w:t>
      </w:r>
      <w:r>
        <w:t xml:space="preserve"> </w:t>
      </w:r>
      <w:r>
        <w:t xml:space="preserve">Marks zajmuje się włóczęgostwem w dwóch miejscach: w rozdziale „Tak zwana akumulacja pierwotna”</w:t>
      </w:r>
      <w:r>
        <w:footnoteReference w:id="55"/>
      </w:r>
      <w:r>
        <w:t xml:space="preserve">, gdzie bada rolę włóczęgostwa w przejściu od społeczeństw feudalnych do kapitalistycznych, oraz w rozdziale „Ogólne prawo akumulacji kapitalistycznej”, gdzie objaśnia jego funkcję społeczną w dalej rozwiniętych społeczeństwach kapitalistycznych. Oba rozdziały są ważne dla analizy antycyganizmu, ponieważ badają brytyjskie ustawodawstwo i praktyki dotyczące włóczęgostwa w dwóch różnych okresach dziejów, które miały kluczowe znaczenie dla ukształtowania się i postrzegania migrujących Sinti jako swego rodzaju zamkniętej grupy społecznej w społeczeństwach Europy Zachodniej</w:t>
      </w:r>
      <w:r>
        <w:footnoteReference w:id="56"/>
      </w:r>
      <w:r>
        <w:t xml:space="preserve">. Pierwszy okres to XV i XVI wiek, kiedy Sinti po raz pierwszy przybyli do Europy Zachodniej i napotkali surowe ustawodawstwo, regulujące w ogóle ich obecność. Drugi obejmuje czas, w którym ich pozycja outsiderów była już ugruntowana. Analiza tego okresu może – ze strukturalnego punktu widzenia – bardziej się przydać do analizy dzisiejszej funkcji społecznej statusu włóczęgów, bezdomnych oraz Sinti i Romów.</w:t>
      </w:r>
    </w:p>
    <w:p>
      <w:pPr>
        <w:pStyle w:val="Tekst"/>
      </w:pPr>
      <w:r>
        <w:t xml:space="preserve">W „Akumulacji pierwotnej” Marks objaśnia ewolucję nowoczesnej formy niesprawiedliwości społecznej i ubóstwa, która rozpoczęła się wraz z przejściem od systemu feudalnego do systemu opartego na manufakturze, a później kapitalistycznego. Krytykuje ekonomiczno-polityczne stanowisko autorów burżuazyjnych, którzy stworzyli mit założycielski, według którego istniała „z jednej strony pracowita, inteligentna, a przede wszystkim oszczędna elita, z drugiej zaś leniwi hultaje, przepuszczający wszystko, co mieli, i jeszcze więcej”</w:t>
      </w:r>
      <w:r>
        <w:footnoteReference w:id="57"/>
      </w:r>
      <w:r>
        <w:t xml:space="preserve">. Ten mit – że bogaci zawdzięczają swoje bogactwo inteligencji i oszczędności, a ubodzy swoje ubóstwo lenistwu i rozrzutności – służy, jak twierdzi Marks, za podstawowe uzasadnienie niesprawiedliwości społecznej i skrywa gwałtowną i krwawą historię przemian gospodarczych.</w:t>
      </w:r>
    </w:p>
    <w:p>
      <w:pPr>
        <w:pStyle w:val="Tekst"/>
      </w:pPr>
      <w:r>
        <w:t xml:space="preserve">Według Marksa właściwa historia przemian rozpoczęła się od zmuszenia ludności wiejskiej do porzucenia dotychczasowego, samowystarczalnego życia i przeniesienia się do miast. Pierwszą tego przyczynę widzi w przekształcaniu pól uprawnych w pastwiska dla owiec, ponieważ pod koniec XV wieku rosły ceny wełny w Niderlandach</w:t>
      </w:r>
      <w:r>
        <w:footnoteReference w:id="58"/>
      </w:r>
      <w:r>
        <w:t xml:space="preserve">. Za drugą przyczynę tego zwrotu uważa reformację i wynikającą z niej wyprzedaż majątku kościelnego po niskich cenach</w:t>
      </w:r>
      <w:r>
        <w:footnoteReference w:id="59"/>
      </w:r>
      <w:r>
        <w:t xml:space="preserve">. Oba te procesy doprowadziły do prywatyzacji ziemi, ukształtowania się nowej klasy burżuazyjnej i utraty ziemi przez ludność wiejską.</w:t>
      </w:r>
    </w:p>
    <w:p>
      <w:pPr>
        <w:pStyle w:val="Tekst"/>
      </w:pPr>
      <w:r>
        <w:t xml:space="preserve">Dla Marksa jest to początek tego, co już w</w:t>
      </w:r>
      <w:r>
        <w:t xml:space="preserve"> </w:t>
      </w:r>
      <w:r>
        <w:rPr>
          <w:rStyle w:val="Kursywa"/>
        </w:rPr>
        <w:t xml:space="preserve">Ideologii niemieckiej</w:t>
      </w:r>
      <w:r>
        <w:t xml:space="preserve"> </w:t>
      </w:r>
      <w:r>
        <w:t xml:space="preserve">określił jako „okres włóczęgostwa”</w:t>
      </w:r>
      <w:r>
        <w:footnoteReference w:id="60"/>
      </w:r>
      <w:r>
        <w:t xml:space="preserve">. Po przybyciu do miast – wyjaśnia – wielu wysiedlonych popadło w skrajną nędzę. Ani rozwijające się manufaktury nie dawały im dość pracy, ani przystosowanie się do nowej sytuacji nie było łatwe</w:t>
      </w:r>
      <w:r>
        <w:footnoteReference w:id="61"/>
      </w:r>
      <w:r>
        <w:t xml:space="preserve">. Wysiedleni „przemieniali się więc masowo w żebraków, rozbójników, włóczęgów, po części ze skłonności, w większości przypadków pod przymusem okoliczności [</w:t>
      </w:r>
      <w:r>
        <w:rPr>
          <w:rStyle w:val="Kursywa"/>
        </w:rPr>
        <w:t xml:space="preserve">Zwang der Umstände</w:t>
      </w:r>
      <w:r>
        <w:t xml:space="preserve">]”</w:t>
      </w:r>
      <w:r>
        <w:footnoteReference w:id="62"/>
      </w:r>
      <w:r>
        <w:t xml:space="preserve">. Marks posługuje się figurą włóczęgi, by pokazać, ile siły i przemocy trzeba było użyć, by przemienić ludzi w robotników i ustanowić kapitalistyczny sposób produkcji – uznany później za stan naturalny. W</w:t>
      </w:r>
      <w:r>
        <w:t xml:space="preserve"> </w:t>
      </w:r>
      <w:r>
        <w:rPr>
          <w:rStyle w:val="Kursywa"/>
        </w:rPr>
        <w:t xml:space="preserve">Zarysie krytyki ekonomii politycznej</w:t>
      </w:r>
      <w:r>
        <w:t xml:space="preserve"> </w:t>
      </w:r>
      <w:r>
        <w:t xml:space="preserve">(</w:t>
      </w:r>
      <w:r>
        <w:rPr>
          <w:rStyle w:val="Kursywa"/>
        </w:rPr>
        <w:t xml:space="preserve">Grundrisse</w:t>
      </w:r>
      <w:r>
        <w:t xml:space="preserve">) ujmuje to jednoznacznie: „Muszą oni zostać najpierw</w:t>
      </w:r>
      <w:r>
        <w:t xml:space="preserve"> </w:t>
      </w:r>
      <w:r>
        <w:rPr>
          <w:rStyle w:val="Kursywa"/>
        </w:rPr>
        <w:t xml:space="preserve">zmuszeni</w:t>
      </w:r>
      <w:r>
        <w:t xml:space="preserve"> </w:t>
      </w:r>
      <w:r>
        <w:t xml:space="preserve">do pracy w warunkach ustanowionych przez kapitał. Pozbawieni własności są bardziej skłonni stać się włóczęgami, rozbójnikami i żebrakami niż robotnikami”</w:t>
      </w:r>
      <w:r>
        <w:footnoteReference w:id="63"/>
      </w:r>
      <w:r>
        <w:t xml:space="preserve">. Innymi słowy: przemiany gospodarcze u schyłku systemu feudalnego zubożyły znaczną część dotąd samowystarczalnej ludności. Zważywszy na nieznośne warunki pracy w ówczesnych manufakturach, wielu nie miało innego wyboru, jak tylko żyć jako włóczędzy.</w:t>
      </w:r>
    </w:p>
    <w:p>
      <w:pPr>
        <w:pStyle w:val="Tekst"/>
      </w:pPr>
      <w:r>
        <w:t xml:space="preserve">Na poparcie swojej argumentacji Marks analizuje angielskie ustawodawstwo dotyczące ubóstwa i włóczęgostwa od początku XVI wieku. Ustawodawstwo to powstawało równolegle z pierwszymi wczesnonowożytnymi ustawami przeciwko „Cyganom” w Anglii za Henryka VIII. W ślad za ustawą o włóczęgach i żebrakach (</w:t>
      </w:r>
      <w:r>
        <w:rPr>
          <w:rStyle w:val="Kursywa"/>
        </w:rPr>
        <w:t xml:space="preserve">Vagabonds and Beggars Act</w:t>
      </w:r>
      <w:r>
        <w:t xml:space="preserve">) z 1494 roku, wydaną za Henryka VII, która karała „włóczęgów, próżniaków i osoby podejrzane” zakuciem w dyby</w:t>
      </w:r>
      <w:r>
        <w:footnoteReference w:id="64"/>
      </w:r>
      <w:r>
        <w:t xml:space="preserve"> </w:t>
      </w:r>
      <w:r>
        <w:t xml:space="preserve">i skąpą strawą, by zmusić ich do pracy</w:t>
      </w:r>
      <w:r>
        <w:footnoteReference w:id="65"/>
      </w:r>
      <w:r>
        <w:t xml:space="preserve">, ustawa o włóczęgach (</w:t>
      </w:r>
      <w:r>
        <w:rPr>
          <w:rStyle w:val="Kursywa"/>
        </w:rPr>
        <w:t xml:space="preserve">Vagabonds Act</w:t>
      </w:r>
      <w:r>
        <w:t xml:space="preserve">) z 1530 roku wprowadziła surowsze kary cielesne, takie jak chłosta</w:t>
      </w:r>
      <w:r>
        <w:footnoteReference w:id="66"/>
      </w:r>
      <w:r>
        <w:t xml:space="preserve">. Marks analizuje ustawę z 1530 roku jako jedno z pierwszych ustawodawstw przeciwko włóczęgostwu, przewidujące okrutne kary dla tych, którzy odmawiali pracy</w:t>
      </w:r>
      <w:r>
        <w:footnoteReference w:id="67"/>
      </w:r>
      <w:r>
        <w:t xml:space="preserve">. W tym samym roku uchwalono ustawę o „Egipcjanach” (</w:t>
      </w:r>
      <w:r>
        <w:rPr>
          <w:rStyle w:val="Kursywa"/>
        </w:rPr>
        <w:t xml:space="preserve">Egyptian Act</w:t>
      </w:r>
      <w:r>
        <w:t xml:space="preserve">), dotyczącą „ludzi z obcych krajów, zwących się</w:t>
      </w:r>
      <w:r>
        <w:t xml:space="preserve"> </w:t>
      </w:r>
      <w:r>
        <w:rPr>
          <w:rStyle w:val="Kursywa"/>
        </w:rPr>
        <w:t xml:space="preserve">Egipcjanami</w:t>
      </w:r>
      <w:r>
        <w:t xml:space="preserve">”</w:t>
      </w:r>
      <w:r>
        <w:footnoteReference w:id="68"/>
      </w:r>
      <w:r>
        <w:t xml:space="preserve"> </w:t>
      </w:r>
      <w:r>
        <w:t xml:space="preserve">– co oznaczało wówczas „Cyganów” – jako pierwsze angielskie ustawodawstwo przeciwko „Cyganom”. Dawała ona „Egipcjanom” 15 dni na opuszczenie kraju, zakazywała dalszego przybywania do królestwa i oskarżała „Egipcjan” w ogóle o włóczęgostwo, wróżbiarstwo i rabunek – te same zarzuty stawiano włóczęgom</w:t>
      </w:r>
      <w:r>
        <w:footnoteReference w:id="69"/>
      </w:r>
      <w:r>
        <w:t xml:space="preserve">. W kolejnych dziesięcioleciach szereg równoległych ustaw dotyczących „Egipcjan” i włóczęgów zaostrzał kary</w:t>
      </w:r>
      <w:r>
        <w:footnoteReference w:id="70"/>
      </w:r>
      <w:r>
        <w:t xml:space="preserve">. O ile ustawa o „Egipcjanach” z 1530 roku podkreślała obcość „Egipcjan”, nazywając ich ludźmi „z obcych krajów”, o tyle ustawa o „Egipcjanach” z 1554 roku skupiała się na ich niepożądanym sposobie życia, stanowiąc, że ci, którzy „porzucą to niegodziwe, próżniacze i bezbożne życie i towarzystwo i […] będą wykonywać […] jakąś godziwą pracę lub zajęcie”</w:t>
      </w:r>
      <w:r>
        <w:footnoteReference w:id="71"/>
      </w:r>
      <w:r>
        <w:t xml:space="preserve">, nie powinni być karani. Od 1562 roku w wielu ustawach coraz częściej wymieniano włóczęgów i „Egipcjan” łącznie</w:t>
      </w:r>
      <w:r>
        <w:footnoteReference w:id="72"/>
      </w:r>
      <w:r>
        <w:t xml:space="preserve">, co zacierało granice między postrzeganiem „Cyganów” jako grupy obcej a postrzeganiem ich jako części grupy społecznej włóczęgów.</w:t>
      </w:r>
    </w:p>
    <w:p>
      <w:pPr>
        <w:pStyle w:val="Tekst"/>
      </w:pPr>
      <w:r>
        <w:t xml:space="preserve">Marks, który skupił się na ustawodawstwie dotyczącym włóczęgów, nie poświęcając szczególnej uwagi ustawodawstwu dotyczącemu „Egipcjan”, stwierdza:</w:t>
      </w:r>
    </w:p>
    <w:p>
      <w:pPr>
        <w:pStyle w:val="Cytat"/>
      </w:pPr>
      <w:r>
        <w:t xml:space="preserve">… pod koniec XV i przez cały XVI wiek w całej Europie Zachodniej krwawe ustawodawstwo przeciwko włóczęgostwu. Ojców dzisiejszej klasy robotniczej najpierw ukarano [</w:t>
      </w:r>
      <w:r>
        <w:rPr>
          <w:rStyle w:val="Kursywa"/>
        </w:rPr>
        <w:t xml:space="preserve">gezüchtigt</w:t>
      </w:r>
      <w:r>
        <w:t xml:space="preserve">] za narzucone im przeobrażenie we włóczęgów i nędzarzy. Ustawodawstwo traktowało ich jako „dobrowolnych” przestępców i zakładało, że od ich dobrej woli zależy, czy będą dalej pracować w dawnych, już nieistniejących warunkach</w:t>
      </w:r>
      <w:r>
        <w:footnoteReference w:id="73"/>
      </w:r>
      <w:r>
        <w:t xml:space="preserve">.</w:t>
      </w:r>
    </w:p>
    <w:p>
      <w:pPr>
        <w:pStyle w:val="Tekst"/>
      </w:pPr>
      <w:r>
        <w:t xml:space="preserve">Marks szczegółowo opisuje to bardzo brutalne prawo, które – jak pokażę dalej – w podobnych formach można odnaleźć w ustawodawstwie niemieckim. Przewidywało ono surowe kary dla włóczęgów, od piętnowania i okaleczania (np. przez obcięcie ucha) po dożywotnie niewolnictwo i śmierć</w:t>
      </w:r>
      <w:r>
        <w:footnoteReference w:id="74"/>
      </w:r>
      <w:r>
        <w:t xml:space="preserve">. Według</w:t>
      </w:r>
      <w:r>
        <w:t xml:space="preserve"> </w:t>
      </w:r>
      <w:r>
        <w:rPr>
          <w:rStyle w:val="Kursywa"/>
        </w:rPr>
        <w:t xml:space="preserve">Kronik</w:t>
      </w:r>
      <w:r>
        <w:t xml:space="preserve"> </w:t>
      </w:r>
      <w:r>
        <w:t xml:space="preserve">Holinsheda (</w:t>
      </w:r>
      <w:r>
        <w:rPr>
          <w:rStyle w:val="Kursywa"/>
        </w:rPr>
        <w:t xml:space="preserve">Holinshed’s Chronicles</w:t>
      </w:r>
      <w:r>
        <w:t xml:space="preserve">), które cytuje Marks, w ciągu samego tylko 38-letniego panowania Henryka VIII w pierwszej połowie XVI wieku stracono za kradzież 72 000 osób</w:t>
      </w:r>
      <w:r>
        <w:footnoteReference w:id="75"/>
      </w:r>
      <w:r>
        <w:t xml:space="preserve">. Liczby tej nie należy przyjmować bezkrytycznie, skoro Marks sam wyjaśnia kilka stron wcześniej, że kroniki miały skłonność do wyolbrzymiania</w:t>
      </w:r>
      <w:r>
        <w:footnoteReference w:id="76"/>
      </w:r>
      <w:r>
        <w:t xml:space="preserve">. Mimo to sama ta narracja wyraźnie świadczy o surowości ówczesnego ustawodawstwa dotyczącego ubóstwa i włóczęgostwa.</w:t>
      </w:r>
    </w:p>
    <w:p>
      <w:pPr>
        <w:pStyle w:val="Tekst"/>
      </w:pPr>
      <w:r>
        <w:t xml:space="preserve">W rozdziale „Ogólne prawo akumulacji kapitalistycznej” Marks rozważa rolę włóczęgów i bezrobotnych na dalszych etapach rozwoju społeczeństwa kapitalistycznego i pokazuje, jak – oprócz wszystkich kar – umacniano ich status outsiderów wobec społeczeństwa w interesie systemu gospodarczego. Choć w tym momencie dziejów masy włóczęgów zostały już włączone do rynku pracy, bezrobocie i ubóstwo nadal występowały na wielką skalę i były przedmiotem dyskusji ówczesnych ekonomistów.</w:t>
      </w:r>
    </w:p>
    <w:p>
      <w:pPr>
        <w:pStyle w:val="Tekst"/>
      </w:pPr>
      <w:r>
        <w:t xml:space="preserve">Marks znów polemizuje z klasycznymi ekonomistami politycznymi, takimi jak Malthus, którzy przyczynę bezrobocia i ubóstwa upatrywali w nadmiernym wzroście i reprodukcji siły roboczej</w:t>
      </w:r>
      <w:r>
        <w:footnoteReference w:id="77"/>
      </w:r>
      <w:r>
        <w:t xml:space="preserve">. Podobnie jak mit założycielski kapitalizmu, teoria Malthusa obwinia o ich położenie samych robotników i nędzarzy i jako rozwiązanie proponuje surowe regulacje dotyczące liczby ludności. Marks odpiera te założenia, twierdząc, że bezrobocie i ubóstwo pełnią w systemie kapitalistycznym niezbędną funkcję, ponieważ pomagają utrzymywać płace na niskim poziomie. W konsekwencji system je reprodukuje</w:t>
      </w:r>
      <w:r>
        <w:footnoteReference w:id="78"/>
      </w:r>
      <w:r>
        <w:t xml:space="preserve">. Zmuszanie ludzi do pracy nie stoi więc w sprzeczności z podtrzymywaniem ubóstwa i bezrobocia, gdyż wywiera presję na ludność pracującą.</w:t>
      </w:r>
    </w:p>
    <w:p>
      <w:pPr>
        <w:pStyle w:val="Tekst"/>
      </w:pPr>
      <w:r>
        <w:t xml:space="preserve">Marks posługuje się rozmaitymi przykładami na poparcie swojej teorii, a jeden z nich dotyczy grupy, która według niego rozkoszuje się „urokiem cygańskiego życia”</w:t>
      </w:r>
      <w:r>
        <w:footnoteReference w:id="79"/>
      </w:r>
      <w:r>
        <w:rPr>
          <w:rStyle w:val="Gwiazdka"/>
        </w:rPr>
        <w:t xml:space="preserve">*</w:t>
      </w:r>
      <w:r>
        <w:t xml:space="preserve">. Marks opisuje badaną grupę, zorganizowaną w tak zwany system band (</w:t>
      </w:r>
      <w:r>
        <w:rPr>
          <w:rStyle w:val="Kursywa"/>
        </w:rPr>
        <w:t xml:space="preserve">gang-system</w:t>
      </w:r>
      <w:r>
        <w:t xml:space="preserve">) we wschodniej Anglii: ludzie na wsi mogli mieszkać tylko w pewnych obszarach, zwanych wsiami otwartymi, podczas gdy wsie zamknięte, należące do jednego lub kilku właścicieli ziemskich, nie oferowały zwykłej ludności żadnych mieszkań</w:t>
      </w:r>
      <w:r>
        <w:footnoteReference w:id="80"/>
      </w:r>
      <w:r>
        <w:t xml:space="preserve">. Z jednej strony sytuacja ta prowadziła do wymuszania migracji ubogiej ludności wiejskiej, z drugiej zaś skutkowała brakiem zwykłych robotników na obszarach należących do wielkich dzierżawców. Skutek ten był dzierżawcom na rękę, mogli bowiem zmuszać coraz więcej kobiet i coraz młodsze dzieci do pracy za bardzo niskie wynagrodzenie, a płace zwykłych robotników płci męskiej utrzymywać na niskim poziomie</w:t>
      </w:r>
      <w:r>
        <w:footnoteReference w:id="81"/>
      </w:r>
      <w:r>
        <w:t xml:space="preserve">. Dzierżawcy nie byli więc zainteresowani budowaniem domów dla robotników, lecz raczej wykorzystywali ten system.</w:t>
      </w:r>
    </w:p>
    <w:p>
      <w:pPr>
        <w:pStyle w:val="Tekst"/>
      </w:pPr>
      <w:r>
        <w:t xml:space="preserve">Marks wyjaśnia, że aby zaradzić tej sytuacji, ludzie łączyli się w „gangi, czyli zorganizowane bandy”</w:t>
      </w:r>
      <w:r>
        <w:footnoteReference w:id="82"/>
      </w:r>
      <w:r>
        <w:t xml:space="preserve">. Analizuje gang jako grupę społeczną z przodownikiem bandy (</w:t>
      </w:r>
      <w:r>
        <w:rPr>
          <w:rStyle w:val="Kursywa"/>
        </w:rPr>
        <w:t xml:space="preserve">gang-master</w:t>
      </w:r>
      <w:r>
        <w:t xml:space="preserve">) na czele, liczącą do 50 członków, głównie kobiet, młodzieży i dzieci. Przodownik bandy pośredniczy między pracującymi członkami a dzierżawcami. Marks stwierdza, że ponieważ żyli oni w bardzo ciężkich warunkach, szukali ulgi i znajdowali ją w „uroku cygańskiego życia”</w:t>
      </w:r>
      <w:r>
        <w:footnoteReference w:id="83"/>
      </w:r>
      <w:r>
        <w:t xml:space="preserve">, jaki zapewniał im przodownik bandy. Marks interpretuje ten urok stereotypowo, jako „[p]rostacką swobodę, hałaśliwą wesołość i najbardziej sprośne zuchwalstwo”</w:t>
      </w:r>
      <w:r>
        <w:footnoteReference w:id="84"/>
      </w:r>
      <w:r>
        <w:t xml:space="preserve">. Mimo to nie uważa ich za odpowiedzialnych za ten styl życia, lecz widzi w nich ludzi, których do niego zmuszono, jak podsumowuje:</w:t>
      </w:r>
    </w:p>
    <w:p>
      <w:pPr>
        <w:pStyle w:val="Cytat"/>
      </w:pPr>
      <w:r>
        <w:t xml:space="preserve">System band, który w ostatnich latach stale się rozszerza, istnieje oczywiście nie dla dobra przodownika bandy. Istnieje dla wzbogacenia wielkich dzierżawców, a pośrednio właścicieli ziemskich. Dla dzierżawcy nie ma bardziej pomysłowej metody, by utrzymywać swój personel robotniczy głęboko poniżej normalnego poziomu, a zarazem mieć zawsze pod ręką dodatkowe ręce do dodatkowej roboty, wydobyć jak najwięcej pracy za jak najmniej pieniędzy i uczynić dorosłego robotnika płci męskiej „zbędnym”</w:t>
      </w:r>
      <w:r>
        <w:footnoteReference w:id="85"/>
      </w:r>
      <w:r>
        <w:t xml:space="preserve">.</w:t>
      </w:r>
    </w:p>
    <w:p>
      <w:pPr>
        <w:pStyle w:val="Tekst"/>
      </w:pPr>
      <w:r>
        <w:t xml:space="preserve">Marks zwraca uwagę, że bandy powstały jako odpowiedź na trudną sytuację mieszkaniową i niskie płace robotników rolnych. Ogólnie rzecz biorąc, widzi we włóczęgostwie problem spowodowany przez klasę panującą, a następnie ujmowany przez tych samych ludzi dwuznacznie, skoro próbowali go jednocześnie zwalczać i podtrzymywać. Marks rozważa społeczno-ekonomiczne przyczyny włóczęgostwa, zamiast uznawać je za cechę charakteru określonej grupy – choć do zilustrowania tych procesów posługuje się stereotypowymi przykładami.</w:t>
      </w:r>
    </w:p>
    <w:p>
      <w:pPr>
        <w:pStyle w:val="Śródtytuł"/>
      </w:pPr>
      <w:r>
        <w:t xml:space="preserve">„Cyganie” w niemieckim ustawodawstwie policyjnym do XVIII wieku</w:t>
      </w:r>
    </w:p>
    <w:p>
      <w:pPr>
        <w:pStyle w:val="TekstBEZWCIĘCIA"/>
      </w:pPr>
      <w:r>
        <w:t xml:space="preserve">Marks gruntownie przestudiował sytuację w Anglii w zakresie rządzenia włóczęgami i nędzarzami, a swojej argumentacji używał, niekiedy polemicznie, do zwalczania poglądów innych badaczy ekonomii. Aby pokazać, że myśli Marksa dają się zastosować zarówno do kontekstu angielskiego, jak i niemieckiego, prześledzę niektóre praktyczne środki prześladowania „Cyganów” i „włóczęgów” w ówczesnych Niemczech. Pierwsza znana pisemna wzmianka o „Cyganach” na ziemiach niemieckich pochodzi z 1407 roku i znajduje się w księdze rachunkowej w Hildesheimie. W XV wieku niektórzy władcy wystawiali listy żelazne, by wspomóc grupy „Cyganów”, podczas gdy inni władcy ogłaszali już ich wyjęcie spod prawa. W XV i XVI wieku postępowanie wobec „Cyganów”, wymienianych najczęściej łącznie z tułaczami, żebrakami czy włóczęgami, zyskiwało coraz większe znaczenie w kształtującym się systemie przepisów policyjnych</w:t>
      </w:r>
      <w:r>
        <w:footnoteReference w:id="86"/>
      </w:r>
      <w:r>
        <w:t xml:space="preserve">. O ile na przykład ordynacje krajowe Wirtembergii z 1536 i 1621 roku zawierały już krótkie rozdziały o „Cyganach”, stanowiące, że należy odmawiać im wjazdu na granicach</w:t>
      </w:r>
      <w:r>
        <w:footnoteReference w:id="87"/>
      </w:r>
      <w:r>
        <w:t xml:space="preserve">, o tyle przepisy wydawane po 1650 roku stawały się dłuższe, bardziej szczegółowe i coraz bardziej agresywne</w:t>
      </w:r>
      <w:r>
        <w:footnoteReference w:id="88"/>
      </w:r>
      <w:r>
        <w:t xml:space="preserve">. Prześladowania rozpoczęły się więc w Niemczech być może nieco później niż w Anglii, gdzie szczegółowe przepisy dotyczące „Egipcjan” uchwalano już w XVI wieku.</w:t>
      </w:r>
    </w:p>
    <w:p>
      <w:pPr>
        <w:pStyle w:val="Tekst"/>
      </w:pPr>
      <w:r>
        <w:t xml:space="preserve">W przepisach wirtemberskich, a konkretnie w „Rozporządzeniu przeciwko Cyganom, żebrakom i włóczęgom” z 14 czerwca 1650 roku, książę Eberhard III twierdził, że „Cyganie” „mordami, rabunkiem, przymusem i wymuszeniami wyrządzili Naszym poddanym wielkie szkody i niedogodności”</w:t>
      </w:r>
      <w:r>
        <w:footnoteReference w:id="89"/>
      </w:r>
      <w:r>
        <w:t xml:space="preserve">. Przypominał swoim urzędnikom, że mają odmawiać im wstępu do miast i na swoje terytoria, i zalecał w razie potrzeby „przemocą wygnać ich z kraju”</w:t>
      </w:r>
      <w:r>
        <w:footnoteReference w:id="90"/>
      </w:r>
      <w:r>
        <w:t xml:space="preserve">. W tym momencie „Cyganów” postrzegano jako „innych”, nienależących do poddanych władcy.</w:t>
      </w:r>
    </w:p>
    <w:p>
      <w:pPr>
        <w:pStyle w:val="Tekst"/>
      </w:pPr>
      <w:r>
        <w:t xml:space="preserve">Po kilku podobnych rozporządzeniach z lat 1652, 1653 i 1661 książę Eberhard III wydał 30 sierpnia 1667 roku kolejne „Rozporządzenie w sprawie wypędzenia Cyganów”</w:t>
      </w:r>
      <w:r>
        <w:footnoteReference w:id="91"/>
      </w:r>
      <w:r>
        <w:t xml:space="preserve">. Uskarżał się w nim na złe wykonywanie wcześniejszych rozporządzeń, podkreślał, że w żadnym wypadku nie wolno wpuszczać „Cyganów” na jego terytoria, i polecał swoim urzędnikom „pomagać [sąsiednim państwom] wytępić tę szkodzącą krajowi hołotę”</w:t>
      </w:r>
      <w:r>
        <w:footnoteReference w:id="92"/>
      </w:r>
      <w:r>
        <w:t xml:space="preserve">. Słowo „wytępienie” [</w:t>
      </w:r>
      <w:r>
        <w:rPr>
          <w:rStyle w:val="Kursywa"/>
        </w:rPr>
        <w:t xml:space="preserve">Ausrottung</w:t>
      </w:r>
      <w:r>
        <w:t xml:space="preserve">] pojawia się w kolejnych rozporządzeniach i świadczy o nowym stopniu agresji, zarazem jednak dokument wskazuje na niechęć lub niezdolność urzędników do spełniania odnośnych wymogów.</w:t>
      </w:r>
    </w:p>
    <w:p>
      <w:pPr>
        <w:pStyle w:val="Tekst"/>
      </w:pPr>
      <w:r>
        <w:t xml:space="preserve">Drugi następca księcia Eberharda III, książę Eberhard Ludwik, znalazł jeszcze ostrzejsze słowa w „Edykcie generalnym w sprawie zaostrzenia kar przeciwko Cyganom, oszustom i innym włóczęgom” z 17 lutego 1706 roku. Streścił w nim naradę książąt i władców okręgu szwabskiego w Wirtembergii w sprawie „całkowitego wytępienia”</w:t>
      </w:r>
      <w:r>
        <w:footnoteReference w:id="93"/>
      </w:r>
      <w:r>
        <w:t xml:space="preserve"> </w:t>
      </w:r>
      <w:r>
        <w:t xml:space="preserve">„Cyganów, zwolnionych żołnierzy, oszustów i innej bezpańskiej hołoty”</w:t>
      </w:r>
      <w:r>
        <w:footnoteReference w:id="94"/>
      </w:r>
      <w:r>
        <w:t xml:space="preserve">. Zgromadzeni doszli do wniosku, że</w:t>
      </w:r>
    </w:p>
    <w:p>
      <w:pPr>
        <w:pStyle w:val="Cytat"/>
      </w:pPr>
      <w:r>
        <w:t xml:space="preserve">ta przeklęta cygańska hołota ma w ciągu czternastu dni od ogłoszenia niniejszego patentu otwartego opuścić okręg i całą Szwabię, a jeśliby po upływie tego czasu została w nim jeszcze napotkana, ma być wyjęta spod prawa i każdemu bez wyjątku wolno będzie bez kary i odpowiedzialności […] ich zabijać, ograbiać i postępować z nimi wedle upodobania</w:t>
      </w:r>
      <w:r>
        <w:footnoteReference w:id="95"/>
      </w:r>
      <w:r>
        <w:t xml:space="preserve">.</w:t>
      </w:r>
    </w:p>
    <w:p>
      <w:pPr>
        <w:pStyle w:val="Tekst"/>
      </w:pPr>
      <w:r>
        <w:t xml:space="preserve">Edykt wielokrotnie podkreślał, że stawiających opór należy „zastrzelić”</w:t>
      </w:r>
      <w:r>
        <w:footnoteReference w:id="96"/>
      </w:r>
      <w:r>
        <w:t xml:space="preserve">, „położyć trupem”</w:t>
      </w:r>
      <w:r>
        <w:footnoteReference w:id="97"/>
      </w:r>
      <w:r>
        <w:t xml:space="preserve"> </w:t>
      </w:r>
      <w:r>
        <w:t xml:space="preserve">i „bez najmniejszego wahania zastrzelić”</w:t>
      </w:r>
      <w:r>
        <w:footnoteReference w:id="98"/>
      </w:r>
      <w:r>
        <w:t xml:space="preserve">, niestawiających oporu zaś wtrącić do „najcięższych więzień”</w:t>
      </w:r>
      <w:r>
        <w:footnoteReference w:id="99"/>
      </w:r>
      <w:r>
        <w:t xml:space="preserve">, a każdego z nich starannie przesłuchać co do jego zbrodni, „jako że nigdy nie mogą być od czegoś takiego wolni”</w:t>
      </w:r>
      <w:r>
        <w:footnoteReference w:id="100"/>
      </w:r>
      <w:r>
        <w:t xml:space="preserve">. Należało to czynić, „aż cała rasa tej hołoty zostanie we wszystkich częściach okręgu wykorzeniona i doszczętnie wytępiona”</w:t>
      </w:r>
      <w:r>
        <w:footnoteReference w:id="101"/>
      </w:r>
      <w:r>
        <w:t xml:space="preserve">. To bardzo radykalne i szczegółowe wyrażenie zamiaru eliminacji nie było wyjątkiem – podobne można było wówczas znaleźć także w innych państwach niemieckich</w:t>
      </w:r>
      <w:r>
        <w:footnoteReference w:id="102"/>
      </w:r>
      <w:r>
        <w:t xml:space="preserve">. Można jednak przyjąć, „że taka polityka wypędzania i eksterminacji nie była wcielana w życie we wszystkich szczegółach”, jak stwierdzają historycy, na przykład Achim Landwehr</w:t>
      </w:r>
      <w:r>
        <w:footnoteReference w:id="103"/>
      </w:r>
      <w:r>
        <w:t xml:space="preserve">.</w:t>
      </w:r>
    </w:p>
    <w:p>
      <w:pPr>
        <w:pStyle w:val="Śródtytuł"/>
      </w:pPr>
      <w:r>
        <w:t xml:space="preserve">„Cygan” jako kategoria rasowa i społeczna</w:t>
      </w:r>
    </w:p>
    <w:p>
      <w:pPr>
        <w:pStyle w:val="TekstBEZWCIĘCIA"/>
      </w:pPr>
      <w:r>
        <w:t xml:space="preserve">Lektura wczesnych tekstów prawnych dotyczących „Cyganów” w Niemczech przez pryzmat Kanta i Marksa prowadzi do dwóch różnych interpretacji. Argumentacja Marksa pozwala nam zrozumieć strukturę społeczną Europy Zachodniej, do której w XV wieku przywędrowali (między innymi) Sinti. Marks podkreśla struktury społeczno-ekonomiczne i struktury władzy, które doprowadziły do powstania włóczęgostwa i społecznej figury włóczęgi. Do dziś elementy dawnej narracji o włóczęgostwie jako problemie jednostek zachowały swą siłę i pobrzmiewają w twierdzeniach, że status społeczny bezrobotnych czy bezdomnych jest przez nich samych zawiniony i wynika z indywidualnego lenistwa. Marks przyjmuje inne podejście, pokazując społeczne korzenie problemu, a także interes klasy panującej w podtrzymywaniu, a nawet wzmacnianiu takich warunków w miarę dalszego rozwoju kapitalizmu. Na gruncie argumentacji Marksa można rozumieć związek między ustawodawstwem policyjnym a systemem gospodarczym jako w pierwszym rzędzie społeczno-ekonomiczny, ponieważ włóczęgostwo trzeba było kryminalizować, by narzucić kapitalizm. Nie dziwi więc, że pierwsze publiczne biura pośrednictwa pracy zakładano na posterunkach policji. W Anglii proces ten rozpoczął się w latach 80. XIX wieku, a miasta niemieckie poszły w jej ślady w następnych dziesięcioleciach</w:t>
      </w:r>
      <w:r>
        <w:footnoteReference w:id="104"/>
      </w:r>
      <w:r>
        <w:t xml:space="preserve">.</w:t>
      </w:r>
    </w:p>
    <w:p>
      <w:pPr>
        <w:pStyle w:val="Tekst"/>
      </w:pPr>
      <w:r>
        <w:t xml:space="preserve">Myśl Marksa nie dostarcza jednak wystarczających narzędzi, by wyjaśnić, dlaczego wielu byłych chłopów zdołało z czasem zintegrować się z nowym systemem gospodarczym, podczas gdy innych postrzegano jako członków określonych grup, takich jak „Cyganie”, i napotykali oni większe trudności, gdyż ich wizerunek związał się ze szczególnym statusem społecznym włóczęgów i przestępców. Tu właśnie sięgnięcie po kantowską interpretację statusu „Cyganów” nabiera sensu. Kant podkreśla ich odmienność, traktując ich pochodzenie, język i barwę skóry jako znamiona ich rzekomej niezdolności do przystosowania się, i w ten sposób utrwala urasowiony obraz tej jednorodnej grupy, obecny także u współczesnych mu autorów. W swoim opisie ras ludzkich przypisuje niezdolność do przystosowania się wszystkim ludom pozaeuropejskim. Można to odczytać jako projekcję i esencjalizację różnic zamiast rozumienia stanu rzeczy jako rezultatu procesów społeczno-ekonomicznych. Z perspektywy władców wczesnej nowożytności jest prawdopodobne, że myślenie w kategoriach rasy odgrywało zasadniczą rolę w polityce, która wprost wykluczała „Cyganów”, utrzymując ich w stanie niepewności bytu. Co więcej, „Cyganie” padli ofiarą sprzeczności systemu, który usiłował zmusić jak najwięcej ludzi do wejścia w szeregi siły roboczej, a jednocześnie wymagał wykluczenia pewnej grupy ludzi, by maksymalizować zysk – jak Marks wyjaśnił to w odniesieniu do włóczęgów. Deprecjonowanie określonych grup i ożywianie antycznego dyskursu o barbarzyńcach było w tym momencie wygodną strategią. O ile debata społeczna mogła przesłaniać ukryte w niej implikacje rasowe, o tyle debata rasowa z łatwością przesłaniała społeczne przyczyny utrzymującej się dyskryminacji. Co więcej, elastyczność kategorii „Cygan”, obejmującej zarówno aspekty rasowe, jak i społeczne, pozostawiała pole dla niepewności. Jako przeciwkategoria wobec mieszczaństwa sugerowała ona, że zachowanie odbiegające od normy stanowi stałe zagrożenie: w każdej chwili każdy, kto nie zachowywał się zgodnie z normami, mógł równie dobrze znaleźć się w tej kategorii.</w:t>
      </w:r>
    </w:p>
    <w:p>
      <w:pPr>
        <w:pStyle w:val="Tekst"/>
      </w:pPr>
      <w:r>
        <w:t xml:space="preserve">Również dziś wiele debat o „Cyganach”, Sinti i Romach czy o bezdomnych toczy się wzdłuż linii kategoryzacji społecznej i rasowej (albo, w ostatnich dziesięcioleciach, raczej kulturowej)</w:t>
      </w:r>
      <w:r>
        <w:footnoteReference w:id="105"/>
      </w:r>
      <w:r>
        <w:t xml:space="preserve">. W powojennych Niemczech toczyły się rozległe spory prawnicze o to, czy w okresie nazistowskim „Cyganów” prześladowano jako rasę, co uprawniałoby ich – podobnie jak ludność żydowską – do odszkodowań, czy też prześladowano ich jako „aspołecznych” lub „przestępców”</w:t>
      </w:r>
      <w:r>
        <w:footnoteReference w:id="106"/>
      </w:r>
      <w:r>
        <w:t xml:space="preserve">. Ta druga interpretacja, której niemieckie sądy broniły do 1962 roku, zakładała, że prześladowanie „Cyganów” było dopuszczalne. Dopiero w 1982 roku, po walkach ruchu praw obywatelskich Sinti i Romów, Niemcy oficjalnie przyznały się do Porajmosu, ludobójstwa Sinti i Romów. Niedawna debata o tak zwanej „migracji ubóstwa” z Europy Środkowej i Wschodniej przebiegała w podobnych ramach. Romów z krajów Europy Wschodniej przedstawiano jako „aspołecznych” i jako problem dla społeczeństwa niemieckiego czy – szerzej – społeczeństw zachodnioeuropejskich. Zamiast traktować ich jako obywateli Unii Europejskiej, korzystających z tych samych praw co wszyscy obywatele UE, wiele lokalnych głosów domagało się dodatkowej ochrony przed „migrantami ubóstwa”, a nawet wyjątków od ogólnego prawa do swobodnego przemieszczania się w UE. Na nowo ożyły dawne stereotypy, takie jak niezmienność, którą przyjmował Kant, czy narracja o statusie społecznym zawinionym przez lenistwo, a nie przez struktury – jak sugerował mit założycielski kapitalizmu, który krytykował Marks.</w:t>
      </w:r>
    </w:p>
    <w:p>
      <w:pPr>
        <w:pStyle w:val="Tekst"/>
      </w:pPr>
      <w:r>
        <w:t xml:space="preserve">W ostatnim czasie coraz więcej badaczy z różnych dziedzin analizuje stereotypy „Cygana” i ich przemiany w czasie</w:t>
      </w:r>
      <w:r>
        <w:footnoteReference w:id="107"/>
      </w:r>
      <w:r>
        <w:t xml:space="preserve">. Na podstawie mojej lektury Kanta i Marksa sądzę, że korzystne mogłoby być uzupełnienie współczesnej analizy antycyganizmu o podejście społeczno-ekonomiczne oraz o uwagę poświęconą rasizmowi instytucjonalnemu. Za wzór takiego podejścia analitycznego może posłużyć studium Toma Holerta i Marka Terkessidisa, choć nie odnosi się ono wprost do sytuacji społecznej Sinti i Romów. Analizując, jak europejska gospodarka korzysta z pracy imigrantów zepchniętych w nielegalność i z nieformalnego rynku pracy, a nawet od nich zależy, podczas gdy Unia Europejska i jej państwa przeciwdziałają tym zjawiskom za pomocą szerokiej gamy środków politycznych, sądowych i karnych, autorzy studium wskazują sprzeczne, a zarazem współzależne logiki działania państwa w dziedzinie migracji</w:t>
      </w:r>
      <w:r>
        <w:footnoteReference w:id="108"/>
      </w:r>
      <w:r>
        <w:t xml:space="preserve">. Podobne podejścia można – a moim zdaniem należy – przyjąć w badaniach społecznych nad historycznym i współczesnym antycyganizmem.</w:t>
      </w:r>
    </w:p>
    <w:p>
      <w:pPr>
        <w:pStyle w:val="Śródtytuł"/>
      </w:pPr>
      <w:r>
        <w:t xml:space="preserve">Bibliografia</w:t>
      </w:r>
    </w:p>
    <w:p>
      <w:pPr>
        <w:pStyle w:val="ŚródtytułMAŁE"/>
      </w:pPr>
      <w:r>
        <w:t xml:space="preserve">Źródła drukowane</w:t>
      </w:r>
    </w:p>
    <w:p>
      <w:pPr>
        <w:pStyle w:val="Bibliografia"/>
      </w:pPr>
      <w:r>
        <w:rPr>
          <w:rStyle w:val="Kapitaliki"/>
        </w:rPr>
        <w:t xml:space="preserve">Biester</w:t>
      </w:r>
      <w:r>
        <w:t xml:space="preserve"> </w:t>
      </w:r>
      <w:r>
        <w:t xml:space="preserve">Johann Erich,</w:t>
      </w:r>
      <w:r>
        <w:t xml:space="preserve"> </w:t>
      </w:r>
      <w:r>
        <w:rPr>
          <w:rStyle w:val="Kursywa"/>
        </w:rPr>
        <w:t xml:space="preserve">Über die Zigeuner</w:t>
      </w:r>
      <w:r>
        <w:t xml:space="preserve">, „Berlinische Monatsschrift”, 1793, t. 21, s. 108–165, 360–393.</w:t>
      </w:r>
    </w:p>
    <w:p>
      <w:pPr>
        <w:pStyle w:val="Bibliografia"/>
      </w:pPr>
      <w:r>
        <w:rPr>
          <w:rStyle w:val="Kapitaliki"/>
        </w:rPr>
        <w:t xml:space="preserve">Grellmann</w:t>
      </w:r>
      <w:r>
        <w:t xml:space="preserve"> </w:t>
      </w:r>
      <w:r>
        <w:t xml:space="preserve">Heinrich Moritz Gottlieb,</w:t>
      </w:r>
      <w:r>
        <w:t xml:space="preserve"> </w:t>
      </w:r>
      <w:r>
        <w:rPr>
          <w:rStyle w:val="Kursywa"/>
        </w:rPr>
        <w:t xml:space="preserve">Die Zigeuner: Ein historischer Versuch über die Lebensart und Verfassung, Sitten und Schicksahle dieses Volkes in Europa, nebst ihrem Ursprunge</w:t>
      </w:r>
      <w:r>
        <w:t xml:space="preserve">, Buchhandlung der Gelehrten, Dessau–Leipzig 1783.</w:t>
      </w:r>
    </w:p>
    <w:p>
      <w:pPr>
        <w:pStyle w:val="Bibliografia"/>
      </w:pPr>
      <w:r>
        <w:rPr>
          <w:rStyle w:val="Kapitaliki"/>
        </w:rPr>
        <w:t xml:space="preserve">Grellmann</w:t>
      </w:r>
      <w:r>
        <w:t xml:space="preserve"> </w:t>
      </w:r>
      <w:r>
        <w:t xml:space="preserve">Heinrich Moritz Gottlieb,</w:t>
      </w:r>
      <w:r>
        <w:t xml:space="preserve"> </w:t>
      </w:r>
      <w:r>
        <w:rPr>
          <w:rStyle w:val="Kursywa"/>
        </w:rPr>
        <w:t xml:space="preserve">Dissertation on the Gipsies, Being an Historical Enquiry, Concerning the Manner of Life, Oeconomy, Customs and Conditions of These People in Europe, and Their Origin</w:t>
      </w:r>
      <w:r>
        <w:t xml:space="preserve">, G. Bigg, London 1787.</w:t>
      </w:r>
    </w:p>
    <w:p>
      <w:pPr>
        <w:pStyle w:val="Bibliografia"/>
      </w:pPr>
      <w:r>
        <w:rPr>
          <w:rStyle w:val="Kapitaliki"/>
        </w:rPr>
        <w:t xml:space="preserve">Grellmann</w:t>
      </w:r>
      <w:r>
        <w:t xml:space="preserve"> </w:t>
      </w:r>
      <w:r>
        <w:t xml:space="preserve">Heinrich Moritz Gottlieb,</w:t>
      </w:r>
      <w:r>
        <w:t xml:space="preserve"> </w:t>
      </w:r>
      <w:r>
        <w:rPr>
          <w:rStyle w:val="Kursywa"/>
        </w:rPr>
        <w:t xml:space="preserve">Historischer Versuch über die Zigeuner betreffend die Lebensart und Verfassung, Sitten und Schicksale dieses Volks seit seiner Erscheinung in Europa, und dessen Ursprung</w:t>
      </w:r>
      <w:r>
        <w:t xml:space="preserve">, wyd. 2, Dieterich, Göttingen 1787.</w:t>
      </w:r>
    </w:p>
    <w:p>
      <w:pPr>
        <w:pStyle w:val="Bibliografia"/>
      </w:pPr>
      <w:r>
        <w:rPr>
          <w:rStyle w:val="Kapitaliki"/>
        </w:rPr>
        <w:t xml:space="preserve">Kant</w:t>
      </w:r>
      <w:r>
        <w:t xml:space="preserve"> </w:t>
      </w:r>
      <w:r>
        <w:t xml:space="preserve">Immanuel,</w:t>
      </w:r>
      <w:r>
        <w:t xml:space="preserve"> </w:t>
      </w:r>
      <w:r>
        <w:rPr>
          <w:rStyle w:val="Kursywa"/>
        </w:rPr>
        <w:t xml:space="preserve">Reflexionen zur Anthropologie</w:t>
      </w:r>
      <w:r>
        <w:t xml:space="preserve">, w:</w:t>
      </w:r>
      <w:r>
        <w:t xml:space="preserve"> </w:t>
      </w:r>
      <w:r>
        <w:rPr>
          <w:rStyle w:val="Kursywa"/>
        </w:rPr>
        <w:t xml:space="preserve">Gesammelte Schriften</w:t>
      </w:r>
      <w:r>
        <w:t xml:space="preserve">, red. Preussische Akademie der Wissenschaften, t. 15, De Gruyter, Berlin–Leipzig 1923, s. 55–654.</w:t>
      </w:r>
    </w:p>
    <w:p>
      <w:pPr>
        <w:pStyle w:val="Bibliografia"/>
      </w:pPr>
      <w:r>
        <w:rPr>
          <w:rStyle w:val="Kapitaliki"/>
        </w:rPr>
        <w:t xml:space="preserve">Kant</w:t>
      </w:r>
      <w:r>
        <w:t xml:space="preserve"> </w:t>
      </w:r>
      <w:r>
        <w:t xml:space="preserve">Immanuel,</w:t>
      </w:r>
      <w:r>
        <w:t xml:space="preserve"> </w:t>
      </w:r>
      <w:r>
        <w:rPr>
          <w:rStyle w:val="Kursywa"/>
        </w:rPr>
        <w:t xml:space="preserve">Religion within the Boundaries of Mere Reason (1793)</w:t>
      </w:r>
      <w:r>
        <w:t xml:space="preserve">, w:</w:t>
      </w:r>
      <w:r>
        <w:t xml:space="preserve"> </w:t>
      </w:r>
      <w:r>
        <w:rPr>
          <w:rStyle w:val="Kursywa"/>
        </w:rPr>
        <w:t xml:space="preserve">Religion and Rational Theology</w:t>
      </w:r>
      <w:r>
        <w:t xml:space="preserve">, red. Allen W. Wood, George Di Giovanni, Cambridge University Press, Cambridge 1996, s. 39–216.</w:t>
      </w:r>
    </w:p>
    <w:p>
      <w:pPr>
        <w:pStyle w:val="Bibliografia"/>
      </w:pPr>
      <w:r>
        <w:rPr>
          <w:rStyle w:val="Kapitaliki"/>
        </w:rPr>
        <w:t xml:space="preserve">Kant</w:t>
      </w:r>
      <w:r>
        <w:t xml:space="preserve"> </w:t>
      </w:r>
      <w:r>
        <w:t xml:space="preserve">Immanuel,</w:t>
      </w:r>
      <w:r>
        <w:t xml:space="preserve"> </w:t>
      </w:r>
      <w:r>
        <w:rPr>
          <w:rStyle w:val="Kursywa"/>
        </w:rPr>
        <w:t xml:space="preserve">Anthropology from a Pragmatic Point of View (1798)</w:t>
      </w:r>
      <w:r>
        <w:t xml:space="preserve">, w:</w:t>
      </w:r>
      <w:r>
        <w:t xml:space="preserve"> </w:t>
      </w:r>
      <w:r>
        <w:rPr>
          <w:rStyle w:val="Kursywa"/>
        </w:rPr>
        <w:t xml:space="preserve">Anthropology, History, and Education</w:t>
      </w:r>
      <w:r>
        <w:t xml:space="preserve">, red. Robert Louden, Gunter Zoller, Cambridge University Press, Cambridge 2010, s. 227–429.</w:t>
      </w:r>
    </w:p>
    <w:p>
      <w:pPr>
        <w:pStyle w:val="Bibliografia"/>
      </w:pPr>
      <w:r>
        <w:rPr>
          <w:rStyle w:val="Kapitaliki"/>
        </w:rPr>
        <w:t xml:space="preserve">Kant</w:t>
      </w:r>
      <w:r>
        <w:t xml:space="preserve"> </w:t>
      </w:r>
      <w:r>
        <w:t xml:space="preserve">Immanuel,</w:t>
      </w:r>
      <w:r>
        <w:t xml:space="preserve"> </w:t>
      </w:r>
      <w:r>
        <w:rPr>
          <w:rStyle w:val="Kursywa"/>
        </w:rPr>
        <w:t xml:space="preserve">Determination of the Concept of a Human Race (1785)</w:t>
      </w:r>
      <w:r>
        <w:t xml:space="preserve">, w:</w:t>
      </w:r>
      <w:r>
        <w:t xml:space="preserve"> </w:t>
      </w:r>
      <w:r>
        <w:rPr>
          <w:rStyle w:val="Kursywa"/>
        </w:rPr>
        <w:t xml:space="preserve">Anthropology, History, and Education</w:t>
      </w:r>
      <w:r>
        <w:t xml:space="preserve">, red. Robert Louden, Gunter Zoller, Cambridge University Press, Cambridge 2010, s. 143–159.</w:t>
      </w:r>
    </w:p>
    <w:p>
      <w:pPr>
        <w:pStyle w:val="Bibliografia"/>
      </w:pPr>
      <w:r>
        <w:rPr>
          <w:rStyle w:val="Kapitaliki"/>
        </w:rPr>
        <w:t xml:space="preserve">Kant</w:t>
      </w:r>
      <w:r>
        <w:t xml:space="preserve"> </w:t>
      </w:r>
      <w:r>
        <w:t xml:space="preserve">Immanuel,</w:t>
      </w:r>
      <w:r>
        <w:t xml:space="preserve"> </w:t>
      </w:r>
      <w:r>
        <w:rPr>
          <w:rStyle w:val="Kursywa"/>
        </w:rPr>
        <w:t xml:space="preserve">Of the Different Races of Human Beings (1775)</w:t>
      </w:r>
      <w:r>
        <w:t xml:space="preserve">, w:</w:t>
      </w:r>
      <w:r>
        <w:t xml:space="preserve"> </w:t>
      </w:r>
      <w:r>
        <w:rPr>
          <w:rStyle w:val="Kursywa"/>
        </w:rPr>
        <w:t xml:space="preserve">Anthropology, History, and Education</w:t>
      </w:r>
      <w:r>
        <w:t xml:space="preserve">, red. Robert Louden, Gunter Zoller, Cambridge University Press, Cambridge 2010, s. 82–97.</w:t>
      </w:r>
    </w:p>
    <w:p>
      <w:pPr>
        <w:pStyle w:val="Bibliografia"/>
      </w:pPr>
      <w:r>
        <w:rPr>
          <w:rStyle w:val="Kapitaliki"/>
        </w:rPr>
        <w:t xml:space="preserve">Kant</w:t>
      </w:r>
      <w:r>
        <w:t xml:space="preserve"> </w:t>
      </w:r>
      <w:r>
        <w:t xml:space="preserve">Immanuel,</w:t>
      </w:r>
      <w:r>
        <w:t xml:space="preserve"> </w:t>
      </w:r>
      <w:r>
        <w:rPr>
          <w:rStyle w:val="Kursywa"/>
        </w:rPr>
        <w:t xml:space="preserve">On the Use of Teleological Principles in Philosophy (1788)</w:t>
      </w:r>
      <w:r>
        <w:t xml:space="preserve">, w:</w:t>
      </w:r>
      <w:r>
        <w:t xml:space="preserve"> </w:t>
      </w:r>
      <w:r>
        <w:rPr>
          <w:rStyle w:val="Kursywa"/>
        </w:rPr>
        <w:t xml:space="preserve">Anthropology, History, and Education</w:t>
      </w:r>
      <w:r>
        <w:t xml:space="preserve">, red. Robert Louden, Gunter Zoller, Cambridge University Press, Cambridge 2010, s. 192–218.</w:t>
      </w:r>
    </w:p>
    <w:p>
      <w:pPr>
        <w:pStyle w:val="Bibliografia"/>
      </w:pPr>
      <w:r>
        <w:rPr>
          <w:rStyle w:val="Kapitaliki"/>
        </w:rPr>
        <w:t xml:space="preserve">Marx</w:t>
      </w:r>
      <w:r>
        <w:t xml:space="preserve"> </w:t>
      </w:r>
      <w:r>
        <w:t xml:space="preserve">Karl,</w:t>
      </w:r>
      <w:r>
        <w:t xml:space="preserve"> </w:t>
      </w:r>
      <w:r>
        <w:rPr>
          <w:rStyle w:val="Kursywa"/>
        </w:rPr>
        <w:t xml:space="preserve">Das Kapital: Kritik der politischen Ökonomie. Erster Band</w:t>
      </w:r>
      <w:r>
        <w:t xml:space="preserve">, Dietz, Berlin 1962 („Karl Marx / Friedrich Engels: Werke”, 23).</w:t>
      </w:r>
    </w:p>
    <w:p>
      <w:pPr>
        <w:pStyle w:val="Bibliografia"/>
      </w:pPr>
      <w:r>
        <w:rPr>
          <w:rStyle w:val="Kapitaliki"/>
        </w:rPr>
        <w:t xml:space="preserve">Marx</w:t>
      </w:r>
      <w:r>
        <w:t xml:space="preserve"> </w:t>
      </w:r>
      <w:r>
        <w:t xml:space="preserve">Karl,</w:t>
      </w:r>
      <w:r>
        <w:t xml:space="preserve"> </w:t>
      </w:r>
      <w:r>
        <w:rPr>
          <w:rStyle w:val="Kursywa"/>
        </w:rPr>
        <w:t xml:space="preserve">Ökonomische Manuskripte 1857/1858</w:t>
      </w:r>
      <w:r>
        <w:t xml:space="preserve">, Dietz, Berlin 1983 („Karl Marx / Friedrich Engels: Werke”, 42).</w:t>
      </w:r>
    </w:p>
    <w:p>
      <w:pPr>
        <w:pStyle w:val="Bibliografia"/>
      </w:pPr>
      <w:r>
        <w:rPr>
          <w:rStyle w:val="Kapitaliki"/>
        </w:rPr>
        <w:t xml:space="preserve">Marx</w:t>
      </w:r>
      <w:r>
        <w:t xml:space="preserve"> </w:t>
      </w:r>
      <w:r>
        <w:t xml:space="preserve">Karl,</w:t>
      </w:r>
      <w:r>
        <w:t xml:space="preserve"> </w:t>
      </w:r>
      <w:r>
        <w:rPr>
          <w:rStyle w:val="Kapitaliki"/>
        </w:rPr>
        <w:t xml:space="preserve">Engels</w:t>
      </w:r>
      <w:r>
        <w:t xml:space="preserve"> </w:t>
      </w:r>
      <w:r>
        <w:t xml:space="preserve">Friedrich,</w:t>
      </w:r>
      <w:r>
        <w:t xml:space="preserve"> </w:t>
      </w:r>
      <w:r>
        <w:rPr>
          <w:rStyle w:val="Kursywa"/>
        </w:rPr>
        <w:t xml:space="preserve">Schriften 1845–1846</w:t>
      </w:r>
      <w:r>
        <w:t xml:space="preserve">, Dietz, Berlin 1958 („Karl Marx / Friedrich Engels: Werke”, 3).</w:t>
      </w:r>
    </w:p>
    <w:p>
      <w:pPr>
        <w:pStyle w:val="Bibliografia"/>
      </w:pPr>
      <w:r>
        <w:rPr>
          <w:rStyle w:val="Kapitaliki"/>
        </w:rPr>
        <w:t xml:space="preserve">Raithby</w:t>
      </w:r>
      <w:r>
        <w:t xml:space="preserve"> </w:t>
      </w:r>
      <w:r>
        <w:t xml:space="preserve">John,</w:t>
      </w:r>
      <w:r>
        <w:t xml:space="preserve"> </w:t>
      </w:r>
      <w:r>
        <w:rPr>
          <w:rStyle w:val="Kursywa"/>
        </w:rPr>
        <w:t xml:space="preserve">The Statutes at Large, of England and of Great-Britain: From Magna Carta to the Union of the Kingdoms of Great Britain and Ireland. In Twenty Volumes</w:t>
      </w:r>
      <w:r>
        <w:t xml:space="preserve">, t. 3:</w:t>
      </w:r>
      <w:r>
        <w:t xml:space="preserve"> </w:t>
      </w:r>
      <w:r>
        <w:rPr>
          <w:rStyle w:val="Kursywa"/>
        </w:rPr>
        <w:t xml:space="preserve">From 1 Hen. VIII. A.D. 1509–10. – To 7 Edw. VI. A.D. 1553</w:t>
      </w:r>
      <w:r>
        <w:t xml:space="preserve">, G. Eyre and A. Strahan, London 1811.</w:t>
      </w:r>
    </w:p>
    <w:p>
      <w:pPr>
        <w:pStyle w:val="Bibliografia"/>
      </w:pPr>
      <w:r>
        <w:rPr>
          <w:rStyle w:val="Kapitaliki"/>
        </w:rPr>
        <w:t xml:space="preserve">Raithby</w:t>
      </w:r>
      <w:r>
        <w:t xml:space="preserve"> </w:t>
      </w:r>
      <w:r>
        <w:t xml:space="preserve">John,</w:t>
      </w:r>
      <w:r>
        <w:t xml:space="preserve"> </w:t>
      </w:r>
      <w:r>
        <w:rPr>
          <w:rStyle w:val="Kursywa"/>
        </w:rPr>
        <w:t xml:space="preserve">The Statutes at Large, of England and of Great-Britain: From Magna Carta to the Union of the Kingdoms of Great Britain and Ireland. In Twenty Volumes</w:t>
      </w:r>
      <w:r>
        <w:t xml:space="preserve">, t. 4:</w:t>
      </w:r>
      <w:r>
        <w:t xml:space="preserve"> </w:t>
      </w:r>
      <w:r>
        <w:rPr>
          <w:rStyle w:val="Kursywa"/>
        </w:rPr>
        <w:t xml:space="preserve">From 1 Mary, A.D. 1553. – To 16 Charles I. A.D. 1640</w:t>
      </w:r>
      <w:r>
        <w:t xml:space="preserve">, G. Eyre and A. Strahan, London 1811.</w:t>
      </w:r>
    </w:p>
    <w:p>
      <w:pPr>
        <w:pStyle w:val="Bibliografia"/>
      </w:pPr>
      <w:r>
        <w:rPr>
          <w:rStyle w:val="Kapitaliki"/>
        </w:rPr>
        <w:t xml:space="preserve">Rüdiger</w:t>
      </w:r>
      <w:r>
        <w:t xml:space="preserve"> </w:t>
      </w:r>
      <w:r>
        <w:t xml:space="preserve">Johann Christian Christoph,</w:t>
      </w:r>
      <w:r>
        <w:t xml:space="preserve"> </w:t>
      </w:r>
      <w:r>
        <w:rPr>
          <w:rStyle w:val="Kursywa"/>
        </w:rPr>
        <w:t xml:space="preserve">Von der Sprache und Herkunft der Zigeuner aus Indien</w:t>
      </w:r>
      <w:r>
        <w:t xml:space="preserve">, w:</w:t>
      </w:r>
      <w:r>
        <w:t xml:space="preserve"> </w:t>
      </w:r>
      <w:r>
        <w:rPr>
          <w:rStyle w:val="Kursywa"/>
        </w:rPr>
        <w:t xml:space="preserve">Neuester Zuwachs der teutschen, fremden und allgemeinen Sprachkunde in einigen Aufsätzen, Bücheranzeigen und Nachrichten</w:t>
      </w:r>
      <w:r>
        <w:t xml:space="preserve">, Kummer, Leipzig 1782, s. 37–84.</w:t>
      </w:r>
    </w:p>
    <w:p>
      <w:pPr>
        <w:pStyle w:val="Bibliografia"/>
      </w:pPr>
      <w:r>
        <w:rPr>
          <w:rStyle w:val="Kapitaliki"/>
        </w:rPr>
        <w:t xml:space="preserve">Tomlins</w:t>
      </w:r>
      <w:r>
        <w:t xml:space="preserve"> </w:t>
      </w:r>
      <w:r>
        <w:t xml:space="preserve">Thomas Edlyne,</w:t>
      </w:r>
      <w:r>
        <w:t xml:space="preserve"> </w:t>
      </w:r>
      <w:r>
        <w:rPr>
          <w:rStyle w:val="Kursywa"/>
        </w:rPr>
        <w:t xml:space="preserve">The Statutes at Large, of England and of Great-Britain: From Magna Carta to the Union of the Kingdoms of Great Britain and Ireland. In Twenty Volumes</w:t>
      </w:r>
      <w:r>
        <w:t xml:space="preserve">, t. 2:</w:t>
      </w:r>
      <w:r>
        <w:t xml:space="preserve"> </w:t>
      </w:r>
      <w:r>
        <w:rPr>
          <w:rStyle w:val="Kursywa"/>
        </w:rPr>
        <w:t xml:space="preserve">From 1 Ric. II A.D. 1377 – To 19 Hen. VII. A.D. 1507</w:t>
      </w:r>
      <w:r>
        <w:t xml:space="preserve">, G. Eyre and A. Strahan, London 1811.</w:t>
      </w:r>
    </w:p>
    <w:p>
      <w:pPr>
        <w:pStyle w:val="Bibliografia"/>
      </w:pPr>
      <w:r>
        <w:rPr>
          <w:rStyle w:val="Kapitaliki"/>
        </w:rPr>
        <w:t xml:space="preserve">Zeller</w:t>
      </w:r>
      <w:r>
        <w:t xml:space="preserve"> </w:t>
      </w:r>
      <w:r>
        <w:t xml:space="preserve">Gustav Hermann,</w:t>
      </w:r>
      <w:r>
        <w:t xml:space="preserve"> </w:t>
      </w:r>
      <w:r>
        <w:rPr>
          <w:rStyle w:val="Kapitaliki"/>
        </w:rPr>
        <w:t xml:space="preserve">Reyscher</w:t>
      </w:r>
      <w:r>
        <w:t xml:space="preserve"> </w:t>
      </w:r>
      <w:r>
        <w:t xml:space="preserve">August Ludwig,</w:t>
      </w:r>
      <w:r>
        <w:t xml:space="preserve"> </w:t>
      </w:r>
      <w:r>
        <w:rPr>
          <w:rStyle w:val="Kursywa"/>
        </w:rPr>
        <w:t xml:space="preserve">Sammlung der württembergischen Regierungs-Gesetze: Erster Theil, enthaltend die Regierungs-Gesetze vom Jahre 1489 bis zum Jahre 1634</w:t>
      </w:r>
      <w:r>
        <w:t xml:space="preserve">, Fues, Tübingen 1841 („Vollständige, historisch und kritisch bearbeitete Sammlung der württembergischen Gesetze”, 12).</w:t>
      </w:r>
    </w:p>
    <w:p>
      <w:pPr>
        <w:pStyle w:val="Bibliografia"/>
      </w:pPr>
      <w:r>
        <w:rPr>
          <w:rStyle w:val="Kapitaliki"/>
        </w:rPr>
        <w:t xml:space="preserve">Zeller</w:t>
      </w:r>
      <w:r>
        <w:t xml:space="preserve"> </w:t>
      </w:r>
      <w:r>
        <w:t xml:space="preserve">Gustav Hermann,</w:t>
      </w:r>
      <w:r>
        <w:t xml:space="preserve"> </w:t>
      </w:r>
      <w:r>
        <w:rPr>
          <w:rStyle w:val="Kapitaliki"/>
        </w:rPr>
        <w:t xml:space="preserve">Reyscher</w:t>
      </w:r>
      <w:r>
        <w:t xml:space="preserve"> </w:t>
      </w:r>
      <w:r>
        <w:t xml:space="preserve">August Ludwig,</w:t>
      </w:r>
      <w:r>
        <w:t xml:space="preserve"> </w:t>
      </w:r>
      <w:r>
        <w:rPr>
          <w:rStyle w:val="Kursywa"/>
        </w:rPr>
        <w:t xml:space="preserve">Sammlung der württembergischen Regierungs-Gesetze: Zweiter Theil, enthaltend die Regierungs-Gesetze vom Jahre 1638 bis zum Jahre 1726</w:t>
      </w:r>
      <w:r>
        <w:t xml:space="preserve">, Fues, Tübingen 1842 („Vollständige, historisch und kritisch bearbeitete Sammlung der württembergischen Gesetze”, 13).</w:t>
      </w:r>
    </w:p>
    <w:p>
      <w:pPr>
        <w:pStyle w:val="ŚródtytułMAŁE"/>
      </w:pPr>
      <w:r>
        <w:t xml:space="preserve">Opracowania</w:t>
      </w:r>
    </w:p>
    <w:p>
      <w:pPr>
        <w:pStyle w:val="Bibliografia"/>
      </w:pPr>
      <w:r>
        <w:rPr>
          <w:rStyle w:val="Kapitaliki"/>
        </w:rPr>
        <w:t xml:space="preserve">Amīn</w:t>
      </w:r>
      <w:r>
        <w:t xml:space="preserve"> </w:t>
      </w:r>
      <w:r>
        <w:t xml:space="preserve">Samīr,</w:t>
      </w:r>
      <w:r>
        <w:t xml:space="preserve"> </w:t>
      </w:r>
      <w:r>
        <w:rPr>
          <w:rStyle w:val="Kursywa"/>
        </w:rPr>
        <w:t xml:space="preserve">Accumulation on a World Scale: A Critique of the Theory of Underdevelopment</w:t>
      </w:r>
      <w:r>
        <w:t xml:space="preserve">, Monthly Review Press, New York, NY 1974.</w:t>
      </w:r>
    </w:p>
    <w:p>
      <w:pPr>
        <w:pStyle w:val="Bibliografia"/>
      </w:pPr>
      <w:r>
        <w:rPr>
          <w:rStyle w:val="Kapitaliki"/>
        </w:rPr>
        <w:t xml:space="preserve">Balibar</w:t>
      </w:r>
      <w:r>
        <w:t xml:space="preserve"> </w:t>
      </w:r>
      <w:r>
        <w:t xml:space="preserve">Étienne,</w:t>
      </w:r>
      <w:r>
        <w:t xml:space="preserve"> </w:t>
      </w:r>
      <w:r>
        <w:rPr>
          <w:rStyle w:val="Kursywa"/>
        </w:rPr>
        <w:t xml:space="preserve">Is There a „Neo-Racism”?</w:t>
      </w:r>
      <w:r>
        <w:t xml:space="preserve">, w:</w:t>
      </w:r>
      <w:r>
        <w:t xml:space="preserve"> </w:t>
      </w:r>
      <w:r>
        <w:rPr>
          <w:rStyle w:val="Kursywa"/>
        </w:rPr>
        <w:t xml:space="preserve">Race, Nation, Class: Ambiguous Identities</w:t>
      </w:r>
      <w:r>
        <w:t xml:space="preserve">, red. Étienne Balibar, Immanuel Wallerstein, Verso, London 1991, s. 17–28.</w:t>
      </w:r>
    </w:p>
    <w:p>
      <w:pPr>
        <w:pStyle w:val="Bibliografia"/>
      </w:pPr>
      <w:r>
        <w:rPr>
          <w:rStyle w:val="Kapitaliki"/>
        </w:rPr>
        <w:t xml:space="preserve">Bernasconi</w:t>
      </w:r>
      <w:r>
        <w:t xml:space="preserve"> </w:t>
      </w:r>
      <w:r>
        <w:t xml:space="preserve">Robert,</w:t>
      </w:r>
      <w:r>
        <w:t xml:space="preserve"> </w:t>
      </w:r>
      <w:r>
        <w:rPr>
          <w:rStyle w:val="Kursywa"/>
        </w:rPr>
        <w:t xml:space="preserve">Who Invented the Concept of Race? Kant’s Role in the Enlightenment Construction of Race</w:t>
      </w:r>
      <w:r>
        <w:t xml:space="preserve">, w:</w:t>
      </w:r>
      <w:r>
        <w:t xml:space="preserve"> </w:t>
      </w:r>
      <w:r>
        <w:rPr>
          <w:rStyle w:val="Kursywa"/>
        </w:rPr>
        <w:t xml:space="preserve">Race</w:t>
      </w:r>
      <w:r>
        <w:t xml:space="preserve">, red. Robert Bernasconi, Blackwell Publishers, Malden, Mass.–Oxford 2001, s. 11–36.</w:t>
      </w:r>
    </w:p>
    <w:p>
      <w:pPr>
        <w:pStyle w:val="Bibliografia"/>
      </w:pPr>
      <w:r>
        <w:rPr>
          <w:rStyle w:val="Kapitaliki"/>
        </w:rPr>
        <w:t xml:space="preserve">Bernasconi</w:t>
      </w:r>
      <w:r>
        <w:t xml:space="preserve"> </w:t>
      </w:r>
      <w:r>
        <w:t xml:space="preserve">Robert,</w:t>
      </w:r>
      <w:r>
        <w:t xml:space="preserve"> </w:t>
      </w:r>
      <w:r>
        <w:rPr>
          <w:rStyle w:val="Kursywa"/>
        </w:rPr>
        <w:t xml:space="preserve">Kant as an Unfamiliar Source of Racism</w:t>
      </w:r>
      <w:r>
        <w:t xml:space="preserve">, w:</w:t>
      </w:r>
      <w:r>
        <w:t xml:space="preserve"> </w:t>
      </w:r>
      <w:r>
        <w:rPr>
          <w:rStyle w:val="Kursywa"/>
        </w:rPr>
        <w:t xml:space="preserve">Philosophers on Race: Critical Essays</w:t>
      </w:r>
      <w:r>
        <w:t xml:space="preserve">, red. Tommy L. Lott, Julie K. Ward, Oxford University Press, Oxford 2002, s. 145–166.</w:t>
      </w:r>
    </w:p>
    <w:p>
      <w:pPr>
        <w:pStyle w:val="Bibliografia"/>
      </w:pPr>
      <w:r>
        <w:rPr>
          <w:rStyle w:val="Kapitaliki"/>
        </w:rPr>
        <w:t xml:space="preserve">Bohlender</w:t>
      </w:r>
      <w:r>
        <w:t xml:space="preserve"> </w:t>
      </w:r>
      <w:r>
        <w:t xml:space="preserve">Matthias,</w:t>
      </w:r>
      <w:r>
        <w:t xml:space="preserve"> </w:t>
      </w:r>
      <w:r>
        <w:rPr>
          <w:rStyle w:val="Kursywa"/>
        </w:rPr>
        <w:t xml:space="preserve">Der Malthus-Effekt: Vom Ethos der Aufklärung zur Geburt des Liberalismus</w:t>
      </w:r>
      <w:r>
        <w:t xml:space="preserve">, w:</w:t>
      </w:r>
      <w:r>
        <w:t xml:space="preserve"> </w:t>
      </w:r>
      <w:r>
        <w:rPr>
          <w:rStyle w:val="Kursywa"/>
        </w:rPr>
        <w:t xml:space="preserve">Neustart des Weltlaufs? Fiktion und Faszination der Zeitwende</w:t>
      </w:r>
      <w:r>
        <w:t xml:space="preserve">, red. Karsten Fischer, Suhrkamp, Frankfurt am Main 1999, s. 36–64.</w:t>
      </w:r>
    </w:p>
    <w:p>
      <w:pPr>
        <w:pStyle w:val="Bibliografia"/>
      </w:pPr>
      <w:r>
        <w:rPr>
          <w:rStyle w:val="Kapitaliki"/>
        </w:rPr>
        <w:t xml:space="preserve">Breger</w:t>
      </w:r>
      <w:r>
        <w:t xml:space="preserve"> </w:t>
      </w:r>
      <w:r>
        <w:t xml:space="preserve">Claudia,</w:t>
      </w:r>
      <w:r>
        <w:t xml:space="preserve"> </w:t>
      </w:r>
      <w:r>
        <w:rPr>
          <w:rStyle w:val="Kursywa"/>
        </w:rPr>
        <w:t xml:space="preserve">Grellmann – der „Zigeunerforscher” der Aufklärung</w:t>
      </w:r>
      <w:r>
        <w:t xml:space="preserve">, w:</w:t>
      </w:r>
      <w:r>
        <w:t xml:space="preserve"> </w:t>
      </w:r>
      <w:r>
        <w:rPr>
          <w:rStyle w:val="Kursywa"/>
        </w:rPr>
        <w:t xml:space="preserve">Aufklärung und Antiziganismus</w:t>
      </w:r>
      <w:r>
        <w:t xml:space="preserve">, red. Udo Engbring-Romang, Daniel Strauß, I-Verb.de, Seeheim 2003, s. 50–65.</w:t>
      </w:r>
    </w:p>
    <w:p>
      <w:pPr>
        <w:pStyle w:val="Bibliografia"/>
      </w:pPr>
      <w:r>
        <w:rPr>
          <w:rStyle w:val="Kapitaliki"/>
        </w:rPr>
        <w:t xml:space="preserve">Brittnacher</w:t>
      </w:r>
      <w:r>
        <w:t xml:space="preserve"> </w:t>
      </w:r>
      <w:r>
        <w:t xml:space="preserve">Hans Richard,</w:t>
      </w:r>
      <w:r>
        <w:t xml:space="preserve"> </w:t>
      </w:r>
      <w:r>
        <w:rPr>
          <w:rStyle w:val="Kursywa"/>
        </w:rPr>
        <w:t xml:space="preserve">Leben auf der Grenze: Klischee und Faszination des Zigeunerbildes in Literatur und Kunst</w:t>
      </w:r>
      <w:r>
        <w:t xml:space="preserve">, Wallstein Verlag, Göttingen 2012.</w:t>
      </w:r>
    </w:p>
    <w:p>
      <w:pPr>
        <w:pStyle w:val="Bibliografia"/>
      </w:pPr>
      <w:r>
        <w:rPr>
          <w:rStyle w:val="Kapitaliki"/>
        </w:rPr>
        <w:t xml:space="preserve">Decker</w:t>
      </w:r>
      <w:r>
        <w:t xml:space="preserve"> </w:t>
      </w:r>
      <w:r>
        <w:t xml:space="preserve">Oliver,</w:t>
      </w:r>
      <w:r>
        <w:t xml:space="preserve"> </w:t>
      </w:r>
      <w:r>
        <w:rPr>
          <w:rStyle w:val="Kapitaliki"/>
        </w:rPr>
        <w:t xml:space="preserve">Kiess</w:t>
      </w:r>
      <w:r>
        <w:t xml:space="preserve"> </w:t>
      </w:r>
      <w:r>
        <w:t xml:space="preserve">Johannes,</w:t>
      </w:r>
      <w:r>
        <w:t xml:space="preserve"> </w:t>
      </w:r>
      <w:r>
        <w:rPr>
          <w:rStyle w:val="Kapitaliki"/>
        </w:rPr>
        <w:t xml:space="preserve">Schuler</w:t>
      </w:r>
      <w:r>
        <w:t xml:space="preserve"> </w:t>
      </w:r>
      <w:r>
        <w:t xml:space="preserve">Julia,</w:t>
      </w:r>
      <w:r>
        <w:t xml:space="preserve"> </w:t>
      </w:r>
      <w:r>
        <w:rPr>
          <w:rStyle w:val="Kapitaliki"/>
        </w:rPr>
        <w:t xml:space="preserve">Handke</w:t>
      </w:r>
      <w:r>
        <w:t xml:space="preserve"> </w:t>
      </w:r>
      <w:r>
        <w:t xml:space="preserve">Barbara,</w:t>
      </w:r>
      <w:r>
        <w:t xml:space="preserve"> </w:t>
      </w:r>
      <w:r>
        <w:rPr>
          <w:rStyle w:val="Kapitaliki"/>
        </w:rPr>
        <w:t xml:space="preserve">Brähler</w:t>
      </w:r>
      <w:r>
        <w:t xml:space="preserve"> </w:t>
      </w:r>
      <w:r>
        <w:t xml:space="preserve">Elmar,</w:t>
      </w:r>
      <w:r>
        <w:t xml:space="preserve"> </w:t>
      </w:r>
      <w:r>
        <w:rPr>
          <w:rStyle w:val="Kursywa"/>
        </w:rPr>
        <w:t xml:space="preserve">Die Leipziger Autoritarismus-Studie 2018: Methode, Ergebnisse und Langzeitverlauf</w:t>
      </w:r>
      <w:r>
        <w:t xml:space="preserve">, w:</w:t>
      </w:r>
      <w:r>
        <w:t xml:space="preserve"> </w:t>
      </w:r>
      <w:r>
        <w:rPr>
          <w:rStyle w:val="Kursywa"/>
        </w:rPr>
        <w:t xml:space="preserve">Flucht ins Autoritäre: Rechtsextreme Dynamiken in der Mitte der Gesellschaft. Die Leipziger Autoritarismus-Studie 2018</w:t>
      </w:r>
      <w:r>
        <w:t xml:space="preserve">, red. Oliver Decker, Elmar Brähler, Psychosozial-Verlag, Gießen 2018, s. 65–115.</w:t>
      </w:r>
    </w:p>
    <w:p>
      <w:pPr>
        <w:pStyle w:val="Bibliografia"/>
      </w:pPr>
      <w:r>
        <w:rPr>
          <w:rStyle w:val="Kapitaliki"/>
        </w:rPr>
        <w:t xml:space="preserve">Eberl</w:t>
      </w:r>
      <w:r>
        <w:t xml:space="preserve"> </w:t>
      </w:r>
      <w:r>
        <w:t xml:space="preserve">Oliver,</w:t>
      </w:r>
      <w:r>
        <w:t xml:space="preserve"> </w:t>
      </w:r>
      <w:r>
        <w:rPr>
          <w:rStyle w:val="Kursywa"/>
        </w:rPr>
        <w:t xml:space="preserve">Kant on Race and Barbarism: Towards a More Complex View on Racism and Anti-Colonialism in Kant</w:t>
      </w:r>
      <w:r>
        <w:t xml:space="preserve">, „Kantian Review”, 2019, t. 24, nr 3, s. 385–413.</w:t>
      </w:r>
    </w:p>
    <w:p>
      <w:pPr>
        <w:pStyle w:val="Bibliografia"/>
      </w:pPr>
      <w:r>
        <w:rPr>
          <w:rStyle w:val="Kapitaliki"/>
        </w:rPr>
        <w:t xml:space="preserve">End</w:t>
      </w:r>
      <w:r>
        <w:t xml:space="preserve"> </w:t>
      </w:r>
      <w:r>
        <w:t xml:space="preserve">Markus,</w:t>
      </w:r>
      <w:r>
        <w:t xml:space="preserve"> </w:t>
      </w:r>
      <w:r>
        <w:rPr>
          <w:rStyle w:val="Kursywa"/>
        </w:rPr>
        <w:t xml:space="preserve">Antiziganismus und Polizei: Mit Dokumentation der Fachveranstaltung „Die Polizei und Minderheiten – Das Beispiel Antiziganismus” und einem ergänzenden Beitrag zum OEZ-Attentat</w:t>
      </w:r>
      <w:r>
        <w:t xml:space="preserve">, Zentralrat Deutscher Sinti und Roma, Heidelberg 2019 („Schriftenreihe”, 12).</w:t>
      </w:r>
    </w:p>
    <w:p>
      <w:pPr>
        <w:pStyle w:val="Bibliografia"/>
      </w:pPr>
      <w:r>
        <w:rPr>
          <w:rStyle w:val="Kapitaliki"/>
        </w:rPr>
        <w:t xml:space="preserve">Engbring-Romang</w:t>
      </w:r>
      <w:r>
        <w:t xml:space="preserve"> </w:t>
      </w:r>
      <w:r>
        <w:t xml:space="preserve">Udo,</w:t>
      </w:r>
      <w:r>
        <w:t xml:space="preserve"> </w:t>
      </w:r>
      <w:r>
        <w:rPr>
          <w:rStyle w:val="Kursywa"/>
        </w:rPr>
        <w:t xml:space="preserve">Vorurteile – naturwissenschaftlich begründet: Beiträge aufgeklärter Wissenschaftler zur Begründung des rassistischen Antiziganismus</w:t>
      </w:r>
      <w:r>
        <w:t xml:space="preserve">, w:</w:t>
      </w:r>
      <w:r>
        <w:t xml:space="preserve"> </w:t>
      </w:r>
      <w:r>
        <w:rPr>
          <w:rStyle w:val="Kursywa"/>
        </w:rPr>
        <w:t xml:space="preserve">Aufklärung und Antiziganismus</w:t>
      </w:r>
      <w:r>
        <w:t xml:space="preserve">, red. Udo Engbring-Romang, Daniel Strauß, I-Verb.de, Seeheim 2003, s. 34–49.</w:t>
      </w:r>
    </w:p>
    <w:p>
      <w:pPr>
        <w:pStyle w:val="Bibliografia"/>
      </w:pPr>
      <w:r>
        <w:rPr>
          <w:rStyle w:val="Kapitaliki"/>
        </w:rPr>
        <w:t xml:space="preserve">Federici</w:t>
      </w:r>
      <w:r>
        <w:t xml:space="preserve"> </w:t>
      </w:r>
      <w:r>
        <w:t xml:space="preserve">Silvia,</w:t>
      </w:r>
      <w:r>
        <w:t xml:space="preserve"> </w:t>
      </w:r>
      <w:r>
        <w:rPr>
          <w:rStyle w:val="Kursywa"/>
        </w:rPr>
        <w:t xml:space="preserve">Caliban and the Witch. Women, the Body and Primitive Accumulation</w:t>
      </w:r>
      <w:r>
        <w:t xml:space="preserve">, Autonomedia, New York, NY 2004.</w:t>
      </w:r>
    </w:p>
    <w:p>
      <w:pPr>
        <w:pStyle w:val="Bibliografia"/>
      </w:pPr>
      <w:r>
        <w:rPr>
          <w:rStyle w:val="Kapitaliki"/>
        </w:rPr>
        <w:t xml:space="preserve">Fenves</w:t>
      </w:r>
      <w:r>
        <w:t xml:space="preserve"> </w:t>
      </w:r>
      <w:r>
        <w:t xml:space="preserve">Peter D.,</w:t>
      </w:r>
      <w:r>
        <w:t xml:space="preserve"> </w:t>
      </w:r>
      <w:r>
        <w:rPr>
          <w:rStyle w:val="Kursywa"/>
        </w:rPr>
        <w:t xml:space="preserve">Late Kant: Towards Another Law of the Earth</w:t>
      </w:r>
      <w:r>
        <w:t xml:space="preserve">, Routledge, New York–London 2003.</w:t>
      </w:r>
    </w:p>
    <w:p>
      <w:pPr>
        <w:pStyle w:val="Bibliografia"/>
      </w:pPr>
      <w:r>
        <w:rPr>
          <w:rStyle w:val="Kapitaliki"/>
        </w:rPr>
        <w:t xml:space="preserve">Hill</w:t>
      </w:r>
      <w:r>
        <w:t xml:space="preserve"> </w:t>
      </w:r>
      <w:r>
        <w:t xml:space="preserve">Thomas E.,</w:t>
      </w:r>
      <w:r>
        <w:t xml:space="preserve"> </w:t>
      </w:r>
      <w:r>
        <w:rPr>
          <w:rStyle w:val="Kapitaliki"/>
        </w:rPr>
        <w:t xml:space="preserve">Boxill</w:t>
      </w:r>
      <w:r>
        <w:t xml:space="preserve"> </w:t>
      </w:r>
      <w:r>
        <w:t xml:space="preserve">Bernard,</w:t>
      </w:r>
      <w:r>
        <w:t xml:space="preserve"> </w:t>
      </w:r>
      <w:r>
        <w:rPr>
          <w:rStyle w:val="Kursywa"/>
        </w:rPr>
        <w:t xml:space="preserve">Kant and Race</w:t>
      </w:r>
      <w:r>
        <w:t xml:space="preserve">, w:</w:t>
      </w:r>
      <w:r>
        <w:t xml:space="preserve"> </w:t>
      </w:r>
      <w:r>
        <w:rPr>
          <w:rStyle w:val="Kursywa"/>
        </w:rPr>
        <w:t xml:space="preserve">Race and Racism</w:t>
      </w:r>
      <w:r>
        <w:t xml:space="preserve">, red. Bernard Boxill, Oxford University Press, Oxford 2000, s. 448–471.</w:t>
      </w:r>
    </w:p>
    <w:p>
      <w:pPr>
        <w:pStyle w:val="Bibliografia"/>
      </w:pPr>
      <w:r>
        <w:rPr>
          <w:rStyle w:val="Kapitaliki"/>
        </w:rPr>
        <w:t xml:space="preserve">Holert</w:t>
      </w:r>
      <w:r>
        <w:t xml:space="preserve"> </w:t>
      </w:r>
      <w:r>
        <w:t xml:space="preserve">Tom,</w:t>
      </w:r>
      <w:r>
        <w:t xml:space="preserve"> </w:t>
      </w:r>
      <w:r>
        <w:rPr>
          <w:rStyle w:val="Kapitaliki"/>
        </w:rPr>
        <w:t xml:space="preserve">Terkessidis</w:t>
      </w:r>
      <w:r>
        <w:t xml:space="preserve"> </w:t>
      </w:r>
      <w:r>
        <w:t xml:space="preserve">Mark,</w:t>
      </w:r>
      <w:r>
        <w:t xml:space="preserve"> </w:t>
      </w:r>
      <w:r>
        <w:rPr>
          <w:rStyle w:val="Kursywa"/>
        </w:rPr>
        <w:t xml:space="preserve">Fliehkraft: Gesellschaft in Bewegung – von Migranten und Touristen</w:t>
      </w:r>
      <w:r>
        <w:t xml:space="preserve">, Kiepenheuer &amp; Witsch, Köln 2006.</w:t>
      </w:r>
    </w:p>
    <w:p>
      <w:pPr>
        <w:pStyle w:val="Bibliografia"/>
      </w:pPr>
      <w:r>
        <w:rPr>
          <w:rStyle w:val="Kapitaliki"/>
        </w:rPr>
        <w:t xml:space="preserve">Horkheimer</w:t>
      </w:r>
      <w:r>
        <w:t xml:space="preserve"> </w:t>
      </w:r>
      <w:r>
        <w:t xml:space="preserve">Max,</w:t>
      </w:r>
      <w:r>
        <w:t xml:space="preserve"> </w:t>
      </w:r>
      <w:r>
        <w:rPr>
          <w:rStyle w:val="Kapitaliki"/>
        </w:rPr>
        <w:t xml:space="preserve">Adorno</w:t>
      </w:r>
      <w:r>
        <w:t xml:space="preserve"> </w:t>
      </w:r>
      <w:r>
        <w:t xml:space="preserve">Theodor W.,</w:t>
      </w:r>
      <w:r>
        <w:t xml:space="preserve"> </w:t>
      </w:r>
      <w:r>
        <w:rPr>
          <w:rStyle w:val="Kursywa"/>
        </w:rPr>
        <w:t xml:space="preserve">Dialectic of Enlightenment: Philosophical Fragments</w:t>
      </w:r>
      <w:r>
        <w:t xml:space="preserve">, red. Gunzelin Schmid Noerr, tłum. Edmund Jephcott, Stanford University Press, Stanford, CA 2002.</w:t>
      </w:r>
    </w:p>
    <w:p>
      <w:pPr>
        <w:pStyle w:val="Bibliografia"/>
      </w:pPr>
      <w:r>
        <w:rPr>
          <w:rStyle w:val="Kapitaliki"/>
        </w:rPr>
        <w:t xml:space="preserve">Hund</w:t>
      </w:r>
      <w:r>
        <w:t xml:space="preserve"> </w:t>
      </w:r>
      <w:r>
        <w:t xml:space="preserve">Wulf D.,</w:t>
      </w:r>
      <w:r>
        <w:t xml:space="preserve"> </w:t>
      </w:r>
      <w:r>
        <w:rPr>
          <w:rStyle w:val="Kursywa"/>
        </w:rPr>
        <w:t xml:space="preserve">„It Must Come from Europe”: The Racisms of Immanuel Kant</w:t>
      </w:r>
      <w:r>
        <w:t xml:space="preserve">, w:</w:t>
      </w:r>
      <w:r>
        <w:t xml:space="preserve"> </w:t>
      </w:r>
      <w:r>
        <w:rPr>
          <w:rStyle w:val="Kursywa"/>
        </w:rPr>
        <w:t xml:space="preserve">Racisms Made in Germany</w:t>
      </w:r>
      <w:r>
        <w:t xml:space="preserve">, red. Wulf D. Hund, Christian Koller, Moshe Zimmermann, LIT-Verlag, Münster, Berlin 2011, s. 69–98.</w:t>
      </w:r>
    </w:p>
    <w:p>
      <w:pPr>
        <w:pStyle w:val="Bibliografia"/>
      </w:pPr>
      <w:r>
        <w:rPr>
          <w:rStyle w:val="Kapitaliki"/>
        </w:rPr>
        <w:t xml:space="preserve">Kleingeld</w:t>
      </w:r>
      <w:r>
        <w:t xml:space="preserve"> </w:t>
      </w:r>
      <w:r>
        <w:t xml:space="preserve">Pauline,</w:t>
      </w:r>
      <w:r>
        <w:t xml:space="preserve"> </w:t>
      </w:r>
      <w:r>
        <w:rPr>
          <w:rStyle w:val="Kursywa"/>
        </w:rPr>
        <w:t xml:space="preserve">Kant’s Second Thoughts on Race</w:t>
      </w:r>
      <w:r>
        <w:t xml:space="preserve">, „The Philosophical Quarterly”, 2007, t. 57, nr 229, s. 573–592.</w:t>
      </w:r>
    </w:p>
    <w:p>
      <w:pPr>
        <w:pStyle w:val="Bibliografia"/>
      </w:pPr>
      <w:r>
        <w:rPr>
          <w:rStyle w:val="Kapitaliki"/>
        </w:rPr>
        <w:t xml:space="preserve">Lagier</w:t>
      </w:r>
      <w:r>
        <w:t xml:space="preserve"> </w:t>
      </w:r>
      <w:r>
        <w:t xml:space="preserve">Raphaël,</w:t>
      </w:r>
      <w:r>
        <w:t xml:space="preserve"> </w:t>
      </w:r>
      <w:r>
        <w:rPr>
          <w:rStyle w:val="Kursywa"/>
        </w:rPr>
        <w:t xml:space="preserve">Les races humaines selon Kant</w:t>
      </w:r>
      <w:r>
        <w:t xml:space="preserve">, Presses Univ. de France, Paris 2004.</w:t>
      </w:r>
    </w:p>
    <w:p>
      <w:pPr>
        <w:pStyle w:val="Bibliografia"/>
      </w:pPr>
      <w:r>
        <w:rPr>
          <w:rStyle w:val="Kapitaliki"/>
        </w:rPr>
        <w:t xml:space="preserve">Landwehr</w:t>
      </w:r>
      <w:r>
        <w:t xml:space="preserve"> </w:t>
      </w:r>
      <w:r>
        <w:t xml:space="preserve">Achim,</w:t>
      </w:r>
      <w:r>
        <w:t xml:space="preserve"> </w:t>
      </w:r>
      <w:r>
        <w:rPr>
          <w:rStyle w:val="Kursywa"/>
        </w:rPr>
        <w:t xml:space="preserve">Norm, Normalität, Anomale: Zur Konstitution von Mehrheit und Minderheit in württembergischen Polizeiordnungen der Frühen Neuzeit: Juden, Zigeuner, Bettler, Vaganten</w:t>
      </w:r>
      <w:r>
        <w:t xml:space="preserve">, w:</w:t>
      </w:r>
      <w:r>
        <w:t xml:space="preserve"> </w:t>
      </w:r>
      <w:r>
        <w:rPr>
          <w:rStyle w:val="Kursywa"/>
        </w:rPr>
        <w:t xml:space="preserve">Minderheiten, Obrigkeit und Gesellschaft in der frühen Neuzeit: Integrations- und Abgrenzungsprozesse im süddeutschen Raum</w:t>
      </w:r>
      <w:r>
        <w:t xml:space="preserve">, red. Mark Häberlein, Martin Zürn, Scripta Mercaturae Verlag, St. Katharinen 2001, s. 41–74.</w:t>
      </w:r>
    </w:p>
    <w:p>
      <w:pPr>
        <w:pStyle w:val="Bibliografia"/>
      </w:pPr>
      <w:r>
        <w:rPr>
          <w:rStyle w:val="Kapitaliki"/>
        </w:rPr>
        <w:t xml:space="preserve">Larrimore</w:t>
      </w:r>
      <w:r>
        <w:t xml:space="preserve"> </w:t>
      </w:r>
      <w:r>
        <w:t xml:space="preserve">Mark,</w:t>
      </w:r>
      <w:r>
        <w:t xml:space="preserve"> </w:t>
      </w:r>
      <w:r>
        <w:rPr>
          <w:rStyle w:val="Kursywa"/>
        </w:rPr>
        <w:t xml:space="preserve">Sublime Waste: Kant on the Destiny of the „Races”</w:t>
      </w:r>
      <w:r>
        <w:t xml:space="preserve">, „Canadian Journal of Philosophy”, 1999, t. 25, s. 99–125.</w:t>
      </w:r>
    </w:p>
    <w:p>
      <w:pPr>
        <w:pStyle w:val="Bibliografia"/>
      </w:pPr>
      <w:r>
        <w:rPr>
          <w:rStyle w:val="Kapitaliki"/>
        </w:rPr>
        <w:t xml:space="preserve">Lucassen</w:t>
      </w:r>
      <w:r>
        <w:t xml:space="preserve"> </w:t>
      </w:r>
      <w:r>
        <w:t xml:space="preserve">Leo,</w:t>
      </w:r>
      <w:r>
        <w:t xml:space="preserve"> </w:t>
      </w:r>
      <w:r>
        <w:rPr>
          <w:rStyle w:val="Kursywa"/>
        </w:rPr>
        <w:t xml:space="preserve">Zigeuner: Die Geschichte eines polizeilichen Ordnungsbegriffes in Deutschland 1700–1945</w:t>
      </w:r>
      <w:r>
        <w:t xml:space="preserve">, Böhlau, Köln–Weimar–Wien 1996.</w:t>
      </w:r>
    </w:p>
    <w:p>
      <w:pPr>
        <w:pStyle w:val="Bibliografia"/>
      </w:pPr>
      <w:r>
        <w:rPr>
          <w:rStyle w:val="Kapitaliki"/>
        </w:rPr>
        <w:t xml:space="preserve">Mayall</w:t>
      </w:r>
      <w:r>
        <w:t xml:space="preserve"> </w:t>
      </w:r>
      <w:r>
        <w:t xml:space="preserve">David,</w:t>
      </w:r>
      <w:r>
        <w:t xml:space="preserve"> </w:t>
      </w:r>
      <w:r>
        <w:rPr>
          <w:rStyle w:val="Kursywa"/>
        </w:rPr>
        <w:t xml:space="preserve">English Gypsies and State Policies</w:t>
      </w:r>
      <w:r>
        <w:t xml:space="preserve">, Gypsy Research Centre Univ. of Hertfordshire Press, Hertfordshire 1995.</w:t>
      </w:r>
    </w:p>
    <w:p>
      <w:pPr>
        <w:pStyle w:val="Bibliografia"/>
      </w:pPr>
      <w:r>
        <w:rPr>
          <w:rStyle w:val="Kapitaliki"/>
        </w:rPr>
        <w:t xml:space="preserve">Mayall</w:t>
      </w:r>
      <w:r>
        <w:t xml:space="preserve"> </w:t>
      </w:r>
      <w:r>
        <w:t xml:space="preserve">David,</w:t>
      </w:r>
      <w:r>
        <w:t xml:space="preserve"> </w:t>
      </w:r>
      <w:r>
        <w:rPr>
          <w:rStyle w:val="Kursywa"/>
        </w:rPr>
        <w:t xml:space="preserve">Gypsy Identities 1500–2000: From Egipcyans and Moon-Men to the Ethnic Romany</w:t>
      </w:r>
      <w:r>
        <w:t xml:space="preserve">, Routledge, London–New York 2004.</w:t>
      </w:r>
    </w:p>
    <w:p>
      <w:pPr>
        <w:pStyle w:val="Bibliografia"/>
      </w:pPr>
      <w:r>
        <w:rPr>
          <w:rStyle w:val="Kapitaliki"/>
        </w:rPr>
        <w:t xml:space="preserve">Meuser</w:t>
      </w:r>
      <w:r>
        <w:t xml:space="preserve"> </w:t>
      </w:r>
      <w:r>
        <w:t xml:space="preserve">Maria,</w:t>
      </w:r>
      <w:r>
        <w:t xml:space="preserve"> </w:t>
      </w:r>
      <w:r>
        <w:rPr>
          <w:rStyle w:val="Kursywa"/>
        </w:rPr>
        <w:t xml:space="preserve">Vagabunden und Arbeitsscheue: Der Zigeunerbegriff der Polizei als soziale Kategorie</w:t>
      </w:r>
      <w:r>
        <w:t xml:space="preserve">, w:</w:t>
      </w:r>
      <w:r>
        <w:t xml:space="preserve"> </w:t>
      </w:r>
      <w:r>
        <w:rPr>
          <w:rStyle w:val="Kursywa"/>
        </w:rPr>
        <w:t xml:space="preserve">Faul, fremd und frei</w:t>
      </w:r>
      <w:r>
        <w:t xml:space="preserve">, red. Wulf D. Hund, Unrast Verlag, Münster 2014, s. 105–123.</w:t>
      </w:r>
    </w:p>
    <w:p>
      <w:pPr>
        <w:pStyle w:val="Bibliografia"/>
      </w:pPr>
      <w:r>
        <w:rPr>
          <w:rStyle w:val="Kapitaliki"/>
        </w:rPr>
        <w:t xml:space="preserve">Mies</w:t>
      </w:r>
      <w:r>
        <w:t xml:space="preserve"> </w:t>
      </w:r>
      <w:r>
        <w:t xml:space="preserve">Maria,</w:t>
      </w:r>
      <w:r>
        <w:t xml:space="preserve"> </w:t>
      </w:r>
      <w:r>
        <w:rPr>
          <w:rStyle w:val="Kursywa"/>
        </w:rPr>
        <w:t xml:space="preserve">Patriarchat und Kapital: Frauen in der internationalen Arbeitsteilung</w:t>
      </w:r>
      <w:r>
        <w:t xml:space="preserve">, Rotpunktverlag, Zürich 1988.</w:t>
      </w:r>
    </w:p>
    <w:p>
      <w:pPr>
        <w:pStyle w:val="Bibliografia"/>
      </w:pPr>
      <w:r>
        <w:rPr>
          <w:rStyle w:val="Kapitaliki"/>
        </w:rPr>
        <w:t xml:space="preserve">Patrut</w:t>
      </w:r>
      <w:r>
        <w:t xml:space="preserve"> </w:t>
      </w:r>
      <w:r>
        <w:t xml:space="preserve">Iulia-Karin,</w:t>
      </w:r>
      <w:r>
        <w:t xml:space="preserve"> </w:t>
      </w:r>
      <w:r>
        <w:rPr>
          <w:rStyle w:val="Kursywa"/>
        </w:rPr>
        <w:t xml:space="preserve">Phantasma Nation: „Zigeuner” und Juden als Grenzfiguren des „Deutschen” (1770–1920)</w:t>
      </w:r>
      <w:r>
        <w:t xml:space="preserve">, Königshausen &amp; Neumann, Würzburg 2014.</w:t>
      </w:r>
    </w:p>
    <w:p>
      <w:pPr>
        <w:pStyle w:val="Bibliografia"/>
      </w:pPr>
      <w:r>
        <w:rPr>
          <w:rStyle w:val="Kapitaliki"/>
        </w:rPr>
        <w:t xml:space="preserve">Reiss</w:t>
      </w:r>
      <w:r>
        <w:t xml:space="preserve"> </w:t>
      </w:r>
      <w:r>
        <w:t xml:space="preserve">Matthias,</w:t>
      </w:r>
      <w:r>
        <w:t xml:space="preserve"> </w:t>
      </w:r>
      <w:r>
        <w:rPr>
          <w:rStyle w:val="Kursywa"/>
        </w:rPr>
        <w:t xml:space="preserve">Zwischen Revolte und Resignation: Das Bild des Arbeitslosen seit dem 19. Jahrhundert</w:t>
      </w:r>
      <w:r>
        <w:t xml:space="preserve">, w:</w:t>
      </w:r>
      <w:r>
        <w:t xml:space="preserve"> </w:t>
      </w:r>
      <w:r>
        <w:rPr>
          <w:rStyle w:val="Kursywa"/>
        </w:rPr>
        <w:t xml:space="preserve">Armut: Perspektiven in Kunst und Gesellschaft</w:t>
      </w:r>
      <w:r>
        <w:t xml:space="preserve">, red. Herbert Uerlings, Nina Trauth, Lukas Clemens, Primus Verlag, Darmstadt 2011, s. 326–335.</w:t>
      </w:r>
    </w:p>
    <w:p>
      <w:pPr>
        <w:pStyle w:val="Bibliografia"/>
      </w:pPr>
      <w:r>
        <w:rPr>
          <w:rStyle w:val="Kapitaliki"/>
        </w:rPr>
        <w:t xml:space="preserve">Reuss</w:t>
      </w:r>
      <w:r>
        <w:t xml:space="preserve"> </w:t>
      </w:r>
      <w:r>
        <w:t xml:space="preserve">Anja,</w:t>
      </w:r>
      <w:r>
        <w:t xml:space="preserve"> </w:t>
      </w:r>
      <w:r>
        <w:rPr>
          <w:rStyle w:val="Kursywa"/>
        </w:rPr>
        <w:t xml:space="preserve">Kontinuitäten der Stigmatisierung: Sinti und Roma in der deutschen Nachkriegszeit</w:t>
      </w:r>
      <w:r>
        <w:t xml:space="preserve">, Metropol, Berlin 2015.</w:t>
      </w:r>
    </w:p>
    <w:p>
      <w:pPr>
        <w:pStyle w:val="Bibliografia"/>
      </w:pPr>
      <w:r>
        <w:rPr>
          <w:rStyle w:val="Kapitaliki"/>
        </w:rPr>
        <w:t xml:space="preserve">Reuter</w:t>
      </w:r>
      <w:r>
        <w:t xml:space="preserve"> </w:t>
      </w:r>
      <w:r>
        <w:t xml:space="preserve">Frank,</w:t>
      </w:r>
      <w:r>
        <w:t xml:space="preserve"> </w:t>
      </w:r>
      <w:r>
        <w:rPr>
          <w:rStyle w:val="Kursywa"/>
        </w:rPr>
        <w:t xml:space="preserve">Der Bann des Fremden: Die fotografische Konstruktion des Zigeuners</w:t>
      </w:r>
      <w:r>
        <w:t xml:space="preserve">, Wallstein Verlag, Göttingen 2014.</w:t>
      </w:r>
    </w:p>
    <w:p>
      <w:pPr>
        <w:pStyle w:val="Bibliografia"/>
      </w:pPr>
      <w:r>
        <w:rPr>
          <w:rStyle w:val="Kapitaliki"/>
        </w:rPr>
        <w:t xml:space="preserve">Röttgers</w:t>
      </w:r>
      <w:r>
        <w:t xml:space="preserve"> </w:t>
      </w:r>
      <w:r>
        <w:t xml:space="preserve">Kurt,</w:t>
      </w:r>
      <w:r>
        <w:t xml:space="preserve"> </w:t>
      </w:r>
      <w:r>
        <w:rPr>
          <w:rStyle w:val="Kursywa"/>
        </w:rPr>
        <w:t xml:space="preserve">Kants Kollege und seine ungeschriebene Schrift über die Zigeuner</w:t>
      </w:r>
      <w:r>
        <w:t xml:space="preserve">, Manutius, Heidelberg 1993.</w:t>
      </w:r>
    </w:p>
    <w:p>
      <w:pPr>
        <w:pStyle w:val="Bibliografia"/>
      </w:pPr>
      <w:r>
        <w:rPr>
          <w:rStyle w:val="Kapitaliki"/>
        </w:rPr>
        <w:t xml:space="preserve">Röttgers</w:t>
      </w:r>
      <w:r>
        <w:t xml:space="preserve"> </w:t>
      </w:r>
      <w:r>
        <w:t xml:space="preserve">Kurt,</w:t>
      </w:r>
      <w:r>
        <w:t xml:space="preserve"> </w:t>
      </w:r>
      <w:r>
        <w:rPr>
          <w:rStyle w:val="Kursywa"/>
        </w:rPr>
        <w:t xml:space="preserve">Kants Zigeuner</w:t>
      </w:r>
      <w:r>
        <w:t xml:space="preserve">, „Kant Studien”, 1997, t. 88, s. 60–86.</w:t>
      </w:r>
    </w:p>
    <w:p>
      <w:pPr>
        <w:pStyle w:val="Bibliografia"/>
      </w:pPr>
      <w:r>
        <w:rPr>
          <w:rStyle w:val="Kapitaliki"/>
        </w:rPr>
        <w:t xml:space="preserve">Ruch</w:t>
      </w:r>
      <w:r>
        <w:t xml:space="preserve"> </w:t>
      </w:r>
      <w:r>
        <w:t xml:space="preserve">Martin,</w:t>
      </w:r>
      <w:r>
        <w:t xml:space="preserve"> </w:t>
      </w:r>
      <w:r>
        <w:rPr>
          <w:rStyle w:val="Kursywa"/>
        </w:rPr>
        <w:t xml:space="preserve">Zur Wissenschaftsgeschichte der deutschsprachigen „Zigeunerforschung” von den Anfängen bis 1900</w:t>
      </w:r>
      <w:r>
        <w:t xml:space="preserve">, [BRAK WYDAWCY], Freiburg 1986 (maszynopis pracy doktorskiej).</w:t>
      </w:r>
    </w:p>
    <w:p>
      <w:pPr>
        <w:pStyle w:val="Bibliografia"/>
      </w:pPr>
      <w:r>
        <w:rPr>
          <w:rStyle w:val="Kapitaliki"/>
        </w:rPr>
        <w:t xml:space="preserve">Scholz</w:t>
      </w:r>
      <w:r>
        <w:t xml:space="preserve"> </w:t>
      </w:r>
      <w:r>
        <w:t xml:space="preserve">Roswitha,</w:t>
      </w:r>
      <w:r>
        <w:t xml:space="preserve"> </w:t>
      </w:r>
      <w:r>
        <w:rPr>
          <w:rStyle w:val="Kursywa"/>
        </w:rPr>
        <w:t xml:space="preserve">Antiziganismus und Ausnahmezustand: Der „Zigeuner” in der Arbeitsgesellschaft</w:t>
      </w:r>
      <w:r>
        <w:t xml:space="preserve">, w:</w:t>
      </w:r>
      <w:r>
        <w:t xml:space="preserve"> </w:t>
      </w:r>
      <w:r>
        <w:rPr>
          <w:rStyle w:val="Kursywa"/>
        </w:rPr>
        <w:t xml:space="preserve">Antiziganistische Zustände: Zur Kritik eines allgegenwärtigen Ressentiments</w:t>
      </w:r>
      <w:r>
        <w:t xml:space="preserve">, red. Markus End, Kathrin Herold, Yvonne Robel, Unrast Verlag, Münster 2009, s. 24–40.</w:t>
      </w:r>
    </w:p>
    <w:p>
      <w:pPr>
        <w:pStyle w:val="Bibliografia"/>
      </w:pPr>
      <w:r>
        <w:rPr>
          <w:rStyle w:val="Kapitaliki"/>
        </w:rPr>
        <w:t xml:space="preserve">Shell</w:t>
      </w:r>
      <w:r>
        <w:t xml:space="preserve"> </w:t>
      </w:r>
      <w:r>
        <w:t xml:space="preserve">Susan M.,</w:t>
      </w:r>
      <w:r>
        <w:t xml:space="preserve"> </w:t>
      </w:r>
      <w:r>
        <w:rPr>
          <w:rStyle w:val="Kursywa"/>
        </w:rPr>
        <w:t xml:space="preserve">Kant’s Concept of a Human Race</w:t>
      </w:r>
      <w:r>
        <w:t xml:space="preserve">, w:</w:t>
      </w:r>
      <w:r>
        <w:t xml:space="preserve"> </w:t>
      </w:r>
      <w:r>
        <w:rPr>
          <w:rStyle w:val="Kursywa"/>
        </w:rPr>
        <w:t xml:space="preserve">The German Invention of Race</w:t>
      </w:r>
      <w:r>
        <w:t xml:space="preserve">, red. Sara Eigen, Mark Larrimore, State Univ. of New York Press, Albany, NY 2006, s. 55–72.</w:t>
      </w:r>
    </w:p>
    <w:p>
      <w:pPr>
        <w:pStyle w:val="Bibliografia"/>
      </w:pPr>
      <w:r>
        <w:rPr>
          <w:rStyle w:val="Kapitaliki"/>
        </w:rPr>
        <w:t xml:space="preserve">Solms</w:t>
      </w:r>
      <w:r>
        <w:t xml:space="preserve"> </w:t>
      </w:r>
      <w:r>
        <w:t xml:space="preserve">Wilhelm,</w:t>
      </w:r>
      <w:r>
        <w:t xml:space="preserve"> </w:t>
      </w:r>
      <w:r>
        <w:rPr>
          <w:rStyle w:val="Kursywa"/>
        </w:rPr>
        <w:t xml:space="preserve">Zigeunerbilder: Ein dunkles Kapitel der deutschen Literaturgeschichte. Von der frühen Neuzeit bis zur Romantik</w:t>
      </w:r>
      <w:r>
        <w:t xml:space="preserve">, Königshausen &amp; Neumann, Würzburg 2008.</w:t>
      </w:r>
    </w:p>
    <w:p>
      <w:pPr>
        <w:pStyle w:val="Bibliografia"/>
      </w:pPr>
      <w:r>
        <w:rPr>
          <w:rStyle w:val="Kursywa"/>
        </w:rPr>
        <w:t xml:space="preserve">The Securitization of the Roma in Europe</w:t>
      </w:r>
      <w:r>
        <w:t xml:space="preserve">, red. Huub van Baar, Ana Ivasiuc, Regina Kreide, Palgrave Macmillan, Cham, Switzerland 2019 („Human Rights Interventions”).</w:t>
      </w:r>
    </w:p>
    <w:p>
      <w:pPr>
        <w:pStyle w:val="Bibliografia"/>
      </w:pPr>
      <w:r>
        <w:rPr>
          <w:rStyle w:val="Kapitaliki"/>
        </w:rPr>
        <w:t xml:space="preserve">Timbers</w:t>
      </w:r>
      <w:r>
        <w:t xml:space="preserve"> </w:t>
      </w:r>
      <w:r>
        <w:t xml:space="preserve">Frances,</w:t>
      </w:r>
      <w:r>
        <w:t xml:space="preserve"> </w:t>
      </w:r>
      <w:r>
        <w:rPr>
          <w:rStyle w:val="Kursywa"/>
        </w:rPr>
        <w:t xml:space="preserve">„The Damned Fraternitie”: Constructing Gypsy Identity in Early Modern England, 1500–1700</w:t>
      </w:r>
      <w:r>
        <w:t xml:space="preserve">, Routledge, London–New York 2016.</w:t>
      </w:r>
    </w:p>
    <w:p>
      <w:pPr>
        <w:pStyle w:val="Bibliografia"/>
      </w:pPr>
      <w:r>
        <w:rPr>
          <w:rStyle w:val="Kapitaliki"/>
        </w:rPr>
        <w:t xml:space="preserve">Ufen</w:t>
      </w:r>
      <w:r>
        <w:t xml:space="preserve"> </w:t>
      </w:r>
      <w:r>
        <w:t xml:space="preserve">Katrin,</w:t>
      </w:r>
      <w:r>
        <w:t xml:space="preserve"> </w:t>
      </w:r>
      <w:r>
        <w:rPr>
          <w:rStyle w:val="Kursywa"/>
        </w:rPr>
        <w:t xml:space="preserve">Aus Zigeunern Menschen machen: Heinrich Moritz Gottlieb Grellmann und das Zigeunerbild der Aufklärung</w:t>
      </w:r>
      <w:r>
        <w:t xml:space="preserve">, w:</w:t>
      </w:r>
      <w:r>
        <w:t xml:space="preserve"> </w:t>
      </w:r>
      <w:r>
        <w:rPr>
          <w:rStyle w:val="Kursywa"/>
        </w:rPr>
        <w:t xml:space="preserve">Faul, fremd und frei</w:t>
      </w:r>
      <w:r>
        <w:t xml:space="preserve">, red. Wulf D. Hund, Unrast Verlag, Münster 2014, s. 70–90.</w:t>
      </w:r>
    </w:p>
    <w:p>
      <w:pPr>
        <w:pStyle w:val="Bibliografia"/>
      </w:pPr>
      <w:r>
        <w:t xml:space="preserve">van</w:t>
      </w:r>
      <w:r>
        <w:t xml:space="preserve"> </w:t>
      </w:r>
      <w:r>
        <w:rPr>
          <w:rStyle w:val="Kapitaliki"/>
        </w:rPr>
        <w:t xml:space="preserve">Gorkom</w:t>
      </w:r>
      <w:r>
        <w:t xml:space="preserve"> </w:t>
      </w:r>
      <w:r>
        <w:t xml:space="preserve">Joris,</w:t>
      </w:r>
      <w:r>
        <w:t xml:space="preserve"> </w:t>
      </w:r>
      <w:r>
        <w:rPr>
          <w:rStyle w:val="Kursywa"/>
        </w:rPr>
        <w:t xml:space="preserve">Immanuel Kant on Race Mixing: The Gypsies, the Black Portuguese, and the Jews on St. Thomas</w:t>
      </w:r>
      <w:r>
        <w:t xml:space="preserve">, „Journal of the History of Ideas”, 2020, t. 81, nr 3, s. 407–427.</w:t>
      </w:r>
    </w:p>
    <w:p>
      <w:pPr>
        <w:pStyle w:val="Bibliografia"/>
      </w:pPr>
      <w:r>
        <w:rPr>
          <w:rStyle w:val="Kapitaliki"/>
        </w:rPr>
        <w:t xml:space="preserve">Willems</w:t>
      </w:r>
      <w:r>
        <w:t xml:space="preserve"> </w:t>
      </w:r>
      <w:r>
        <w:t xml:space="preserve">Wim,</w:t>
      </w:r>
      <w:r>
        <w:t xml:space="preserve"> </w:t>
      </w:r>
      <w:r>
        <w:rPr>
          <w:rStyle w:val="Kursywa"/>
        </w:rPr>
        <w:t xml:space="preserve">In Search of the True Gypsy: From Enlightenment to Final Solution</w:t>
      </w:r>
      <w:r>
        <w:t xml:space="preserve">, Frank Cass, London–Portland, OR 1997.</w:t>
      </w:r>
    </w:p>
    <w:p>
      <w:pPr>
        <w:pStyle w:val="Bibliografia"/>
      </w:pPr>
      <w:r>
        <w:rPr>
          <w:rStyle w:val="Kapitaliki"/>
        </w:rPr>
        <w:t xml:space="preserve">Zhavoronkov</w:t>
      </w:r>
      <w:r>
        <w:t xml:space="preserve"> </w:t>
      </w:r>
      <w:r>
        <w:t xml:space="preserve">Alexey,</w:t>
      </w:r>
      <w:r>
        <w:t xml:space="preserve"> </w:t>
      </w:r>
      <w:r>
        <w:rPr>
          <w:rStyle w:val="Kapitaliki"/>
        </w:rPr>
        <w:t xml:space="preserve">Salikov</w:t>
      </w:r>
      <w:r>
        <w:t xml:space="preserve"> </w:t>
      </w:r>
      <w:r>
        <w:t xml:space="preserve">Alexey,</w:t>
      </w:r>
      <w:r>
        <w:t xml:space="preserve"> </w:t>
      </w:r>
      <w:r>
        <w:rPr>
          <w:rStyle w:val="Kursywa"/>
        </w:rPr>
        <w:t xml:space="preserve">The Concept of Race in Kant’s Lectures on Anthropology</w:t>
      </w:r>
      <w:r>
        <w:t xml:space="preserve">, „Con-Textos Kantianos. International Journal of Philosophy”, 2018, t. 7, s. 275–292.</w:t>
      </w:r>
    </w:p>
    <w:p>
      <w:pPr>
        <w:pStyle w:val="ŚródtytułMAŁE"/>
      </w:pPr>
      <w:r>
        <w:t xml:space="preserve">Źródła internetowe</w:t>
      </w:r>
    </w:p>
    <w:p>
      <w:pPr>
        <w:pStyle w:val="Bibliografia"/>
      </w:pPr>
      <w:r>
        <w:rPr>
          <w:rStyle w:val="Kapitaliki"/>
        </w:rPr>
        <w:t xml:space="preserve">Geulen</w:t>
      </w:r>
      <w:r>
        <w:t xml:space="preserve"> </w:t>
      </w:r>
      <w:r>
        <w:t xml:space="preserve">Christian,</w:t>
      </w:r>
      <w:r>
        <w:t xml:space="preserve"> </w:t>
      </w:r>
      <w:r>
        <w:rPr>
          <w:rStyle w:val="Kursywa"/>
        </w:rPr>
        <w:t xml:space="preserve">„Rasse” und „Rassismus”: Lecture in the Lecture Series „Kant – Ein Rassist?”</w:t>
      </w:r>
      <w:r>
        <w:t xml:space="preserve">, 2020, https://www.db-thueringen.de/receive/dbt_mods_00046963 [dostęp: 24.11.2020].</w:t>
      </w:r>
    </w:p>
    <w:p>
      <w:pPr>
        <w:pStyle w:val="Bibliografia"/>
      </w:pPr>
      <w:r>
        <w:rPr>
          <w:rStyle w:val="Kursywa"/>
        </w:rPr>
        <w:t xml:space="preserve">Kant – Ein Rassist? Interdisziplinäre Diskussionsreihe</w:t>
      </w:r>
      <w:r>
        <w:t xml:space="preserve">, https://www.bbaw.de/mediathek/archiv-2020/kant-ein-rassist-interdisziplinaere-diskussionsreihe [dostęp: 24.11.2020].</w:t>
      </w:r>
    </w:p>
    <w:p>
      <w:pPr>
        <w:pStyle w:val="PrzypisGWIAZDKOWY"/>
      </w:pPr>
      <w:r>
        <w:t xml:space="preserve">* Pierwodruk: L.S. Tittel,</w:t>
      </w:r>
      <w:r>
        <w:t xml:space="preserve"> </w:t>
      </w:r>
      <w:r>
        <w:rPr>
          <w:rStyle w:val="Kursywa"/>
        </w:rPr>
        <w:t xml:space="preserve">Racial and Social Dimensions of Antiziganism: The Representation of „Gypsies” in Political Theory</w:t>
      </w:r>
      <w:r>
        <w:t xml:space="preserve">, „On_Culture: The Open Journal for the Study of Culture”, 2020, nr 10, URN: urn:nbn:de:hebis:26-opus-160255. Tekst opublikowany na licencji CC BY 4.0 (https://creativecommons.org/licenses/by/4.0/); niniejszy przekład stanowi zmianę utworu w rozumieniu licencji. Tłumaczenie: Michał Bartosz. Cytaty ze źródeł obcojęzycznych, o ile nie wskazano inaczej, w przekładzie tłumacza artykułu; cytaty ze źródeł niemieckich, których oryginał był dostępny, przełożono z oryginału.</w:t>
      </w:r>
    </w:p>
    <w:p>
      <w:pPr>
        <w:pStyle w:val="PrzypisGWIAZDKOWY"/>
      </w:pPr>
      <w:r>
        <w:t xml:space="preserve">Chciałabym podziękować redaktorom tego numeru, Jörnowi Ahrensowi i Axelowi Fliethmannowi, po pierwsze za zorganizowanie owocnych warsztatów pisarsko-badawczych w Monash University Prato Center latem 2019 roku, po drugie za możliwość opublikowania tego artykułu, po trzecie zaś za pomocne uwagi. Dziękuję także Reginie Kreide, Huubowi van Baarowi, Christophowi Panzerowi i anonimowym recenzentom za konstruktywne i cenne uwagi, a zespołowi redakcyjnemu „On_Culture” za wsparcie i redakcję językową.</w:t>
      </w:r>
    </w:p>
    <w:p>
      <w:pPr>
        <w:pStyle w:val="PrzypisGWIAZDKOWY"/>
      </w:pPr>
      <w:r>
        <w:t xml:space="preserve">* Angielskie</w:t>
      </w:r>
      <w:r>
        <w:t xml:space="preserve"> </w:t>
      </w:r>
      <w:r>
        <w:rPr>
          <w:rStyle w:val="Kursywa"/>
        </w:rPr>
        <w:t xml:space="preserve">gypsy</w:t>
      </w:r>
      <w:r>
        <w:t xml:space="preserve">,</w:t>
      </w:r>
      <w:r>
        <w:t xml:space="preserve"> </w:t>
      </w:r>
      <w:r>
        <w:rPr>
          <w:rStyle w:val="Kursywa"/>
        </w:rPr>
        <w:t xml:space="preserve">gypsies</w:t>
      </w:r>
      <w:r>
        <w:t xml:space="preserve"> </w:t>
      </w:r>
      <w:r>
        <w:t xml:space="preserve">autorka pisze we własnym tekście w cudzysłowie i małą literą – jako nazwę kategorii i wyobrażenia wytworzonego przez nie-Romów, a nie nazwę grupy. W przekładzie – „Cygan”, „Cyganie”, „cygański” w cudzysłowie, wielką literą zgodnie z polską ortografią (Kanon, § 6.1, § 12.2.6); w cytatach ze źródeł – bez cudzysłowu, w brzmieniu oddającym rejestr oryginału. Niemieckie</w:t>
      </w:r>
      <w:r>
        <w:t xml:space="preserve"> </w:t>
      </w:r>
      <w:r>
        <w:rPr>
          <w:rStyle w:val="Kursywa"/>
        </w:rPr>
        <w:t xml:space="preserve">Zigeuner</w:t>
      </w:r>
      <w:r>
        <w:t xml:space="preserve">,</w:t>
      </w:r>
      <w:r>
        <w:t xml:space="preserve"> </w:t>
      </w:r>
      <w:r>
        <w:rPr>
          <w:rStyle w:val="Kursywa"/>
        </w:rPr>
        <w:t xml:space="preserve">Zigeiner</w:t>
      </w:r>
      <w:r>
        <w:t xml:space="preserve"> </w:t>
      </w:r>
      <w:r>
        <w:t xml:space="preserve">w tytułach i cytatach pozostawiono bez zmian, a wczesnonowożytne angielskie</w:t>
      </w:r>
      <w:r>
        <w:t xml:space="preserve"> </w:t>
      </w:r>
      <w:r>
        <w:rPr>
          <w:rStyle w:val="Kursywa"/>
        </w:rPr>
        <w:t xml:space="preserve">Egyptians</w:t>
      </w:r>
      <w:r>
        <w:t xml:space="preserve"> </w:t>
      </w:r>
      <w:r>
        <w:t xml:space="preserve">oddano jako „Egipcjanie” – przyp. tłum.</w:t>
      </w:r>
    </w:p>
    <w:p>
      <w:pPr>
        <w:pStyle w:val="PrzypisGWIAZDKOWY"/>
      </w:pPr>
      <w:r>
        <w:t xml:space="preserve">* W oryginale niemieckim (MEW 23, s. 724) nie ma mowy o „uroku”: przodownik bandy przywiązuje do siebie jej członków „kwitnącym pod jego auspicjami cygaństwem” (</w:t>
      </w:r>
      <w:r>
        <w:rPr>
          <w:rStyle w:val="Kursywa"/>
        </w:rPr>
        <w:t xml:space="preserve">das unter seinen Auspizien blühende Zigeunertum</w:t>
      </w:r>
      <w:r>
        <w:t xml:space="preserve">). „Urok cygańskiego życia” (</w:t>
      </w:r>
      <w:r>
        <w:rPr>
          <w:rStyle w:val="Kursywa"/>
        </w:rPr>
        <w:t xml:space="preserve">charm of the gipsy life</w:t>
      </w:r>
      <w:r>
        <w:t xml:space="preserve">) to sformułowanie przekładu angielskiego, na którym opiera się tu wywód autorki – przyp. tłum.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footnoteRef/>
      </w:r>
      <w:r>
        <w:t xml:space="preserve">O. Decker i in.,</w:t>
      </w:r>
      <w:r>
        <w:t xml:space="preserve"> </w:t>
      </w:r>
      <w:r>
        <w:rPr>
          <w:rStyle w:val="Kursywa"/>
        </w:rPr>
        <w:t xml:space="preserve">Die Leipziger Autoritarismus-Studie 2018: Methode, Ergebnisse und Langzeitverlauf</w:t>
      </w:r>
      <w:r>
        <w:t xml:space="preserve">, w:</w:t>
      </w:r>
      <w:r>
        <w:t xml:space="preserve"> </w:t>
      </w:r>
      <w:r>
        <w:rPr>
          <w:rStyle w:val="Kursywa"/>
        </w:rPr>
        <w:t xml:space="preserve">Flucht ins Autoritäre: Rechtsextreme Dynamiken in der Mitte der Gesellschaft. Die Leipziger Autoritarismus-Studie 2018</w:t>
      </w:r>
      <w:r>
        <w:t xml:space="preserve">, red. O. Decker, E. Brähler, Psychosozial-Verlag, Gießen 2018, s. 102–103.</w:t>
      </w:r>
    </w:p>
  </w:footnote>
  <w:footnote w:id="10">
    <w:p>
      <w:pPr>
        <w:pStyle w:val="FootnoteText"/>
      </w:pPr>
      <w:r>
        <w:footnoteRef/>
      </w:r>
      <w:r>
        <w:rPr>
          <w:rStyle w:val="Kursywa"/>
        </w:rPr>
        <w:t xml:space="preserve">The Securitization of the Roma in Europe</w:t>
      </w:r>
      <w:r>
        <w:t xml:space="preserve">, red. H. van Baar, A. Ivasiuc, R. Kreide, Palgrave Macmillan, Cham, Switzerland 2019 (</w:t>
      </w:r>
      <w:r>
        <w:t xml:space="preserve">„Human Rights Interventions”</w:t>
      </w:r>
      <w:r>
        <w:t xml:space="preserve">).</w:t>
      </w:r>
    </w:p>
  </w:footnote>
  <w:footnote w:id="11">
    <w:p>
      <w:pPr>
        <w:pStyle w:val="FootnoteText"/>
      </w:pPr>
      <w:r>
        <w:footnoteRef/>
      </w:r>
      <w:r>
        <w:t xml:space="preserve">M. End,</w:t>
      </w:r>
      <w:r>
        <w:t xml:space="preserve"> </w:t>
      </w:r>
      <w:r>
        <w:rPr>
          <w:rStyle w:val="Kursywa"/>
        </w:rPr>
        <w:t xml:space="preserve">Antiziganismus und Polizei: Mit Dokumentation der Fachveranstaltung</w:t>
      </w:r>
      <w:r>
        <w:rPr>
          <w:rStyle w:val="Kursywa"/>
        </w:rPr>
        <w:t xml:space="preserve"> </w:t>
      </w:r>
      <w:r>
        <w:rPr>
          <w:rStyle w:val="Kursywa"/>
        </w:rPr>
        <w:t xml:space="preserve">„Die Polizei und Minderheiten – Das Beispiel Antiziganismus”</w:t>
      </w:r>
      <w:r>
        <w:rPr>
          <w:rStyle w:val="Kursywa"/>
        </w:rPr>
        <w:t xml:space="preserve"> </w:t>
      </w:r>
      <w:r>
        <w:rPr>
          <w:rStyle w:val="Kursywa"/>
        </w:rPr>
        <w:t xml:space="preserve">und einem ergänzenden Beitrag zum OEZ-Attentat</w:t>
      </w:r>
      <w:r>
        <w:t xml:space="preserve">, Zentralrat Deutscher Sinti und Roma, Heidelberg 2019 (</w:t>
      </w:r>
      <w:r>
        <w:t xml:space="preserve">„Schriftenreihe”</w:t>
      </w:r>
      <w:r>
        <w:t xml:space="preserve">, 12).</w:t>
      </w:r>
    </w:p>
  </w:footnote>
  <w:footnote w:id="12">
    <w:p>
      <w:pPr>
        <w:pStyle w:val="FootnoteText"/>
      </w:pPr>
      <w:r>
        <w:footnoteRef/>
      </w:r>
      <w:r>
        <w:t xml:space="preserve">L. Lucassen,</w:t>
      </w:r>
      <w:r>
        <w:t xml:space="preserve"> </w:t>
      </w:r>
      <w:r>
        <w:rPr>
          <w:rStyle w:val="Kursywa"/>
        </w:rPr>
        <w:t xml:space="preserve">Zigeuner: Die Geschichte eines polizeilichen Ordnungsbegriffes in Deutschland 1700–1945</w:t>
      </w:r>
      <w:r>
        <w:t xml:space="preserve">, Böhlau, Köln–Weimar–Wien 1996; W. Willems,</w:t>
      </w:r>
      <w:r>
        <w:t xml:space="preserve"> </w:t>
      </w:r>
      <w:r>
        <w:rPr>
          <w:rStyle w:val="Kursywa"/>
        </w:rPr>
        <w:t xml:space="preserve">In Search of the True Gypsy: From Enlightenment to Final Solution</w:t>
      </w:r>
      <w:r>
        <w:t xml:space="preserve">, Frank Cass, London–Portland, OR 1997; I.-K. Patrut,</w:t>
      </w:r>
      <w:r>
        <w:t xml:space="preserve"> </w:t>
      </w:r>
      <w:r>
        <w:rPr>
          <w:rStyle w:val="Kursywa"/>
        </w:rPr>
        <w:t xml:space="preserve">Phantasma Nation:</w:t>
      </w:r>
      <w:r>
        <w:rPr>
          <w:rStyle w:val="Kursywa"/>
        </w:rPr>
        <w:t xml:space="preserve"> </w:t>
      </w:r>
      <w:r>
        <w:rPr>
          <w:rStyle w:val="Kursywa"/>
        </w:rPr>
        <w:t xml:space="preserve">„Zigeuner”</w:t>
      </w:r>
      <w:r>
        <w:rPr>
          <w:rStyle w:val="Kursywa"/>
        </w:rPr>
        <w:t xml:space="preserve"> </w:t>
      </w:r>
      <w:r>
        <w:rPr>
          <w:rStyle w:val="Kursywa"/>
        </w:rPr>
        <w:t xml:space="preserve">und Juden als Grenzfiguren des</w:t>
      </w:r>
      <w:r>
        <w:rPr>
          <w:rStyle w:val="Kursywa"/>
        </w:rPr>
        <w:t xml:space="preserve"> </w:t>
      </w:r>
      <w:r>
        <w:rPr>
          <w:rStyle w:val="Kursywa"/>
        </w:rPr>
        <w:t xml:space="preserve">„Deutschen”</w:t>
      </w:r>
      <w:r>
        <w:rPr>
          <w:rStyle w:val="Kursywa"/>
        </w:rPr>
        <w:t xml:space="preserve"> </w:t>
      </w:r>
      <w:r>
        <w:rPr>
          <w:rStyle w:val="Kursywa"/>
        </w:rPr>
        <w:t xml:space="preserve">(1770–1920)</w:t>
      </w:r>
      <w:r>
        <w:t xml:space="preserve">, Königshausen &amp; Neumann, Würzburg 2014.</w:t>
      </w:r>
    </w:p>
  </w:footnote>
  <w:footnote w:id="13">
    <w:p>
      <w:pPr>
        <w:pStyle w:val="FootnoteText"/>
      </w:pPr>
      <w:r>
        <w:footnoteRef/>
      </w:r>
      <w:r>
        <w:t xml:space="preserve">Zob.</w:t>
      </w:r>
      <w:r>
        <w:t xml:space="preserve"> </w:t>
      </w:r>
      <w:r>
        <w:t xml:space="preserve">M. Meuser,</w:t>
      </w:r>
      <w:r>
        <w:t xml:space="preserve"> </w:t>
      </w:r>
      <w:r>
        <w:rPr>
          <w:rStyle w:val="Kursywa"/>
        </w:rPr>
        <w:t xml:space="preserve">Vagabunden und Arbeitsscheue: Der Zigeunerbegriff der Polizei als soziale Kategorie</w:t>
      </w:r>
      <w:r>
        <w:t xml:space="preserve">, w:</w:t>
      </w:r>
      <w:r>
        <w:t xml:space="preserve"> </w:t>
      </w:r>
      <w:r>
        <w:rPr>
          <w:rStyle w:val="Kursywa"/>
        </w:rPr>
        <w:t xml:space="preserve">Faul, fremd und frei</w:t>
      </w:r>
      <w:r>
        <w:t xml:space="preserve">, red. W.D. Hund, Unrast Verlag, Münster 2014</w:t>
      </w:r>
      <w:r>
        <w:t xml:space="preserve">.</w:t>
      </w:r>
    </w:p>
  </w:footnote>
  <w:footnote w:id="14">
    <w:p>
      <w:pPr>
        <w:pStyle w:val="FootnoteText"/>
      </w:pPr>
      <w:r>
        <w:footnoteRef/>
      </w:r>
      <w:r>
        <w:t xml:space="preserve">Zob.</w:t>
      </w:r>
      <w:r>
        <w:t xml:space="preserve"> </w:t>
      </w:r>
      <w:r>
        <w:t xml:space="preserve">Patrut,</w:t>
      </w:r>
      <w:r>
        <w:t xml:space="preserve"> </w:t>
      </w:r>
      <w:r>
        <w:rPr>
          <w:rStyle w:val="Kursywa"/>
        </w:rPr>
        <w:t xml:space="preserve">Phantasma Nation</w:t>
      </w:r>
      <w:r>
        <w:t xml:space="preserve">, s. 18</w:t>
      </w:r>
      <w:r>
        <w:t xml:space="preserve">.</w:t>
      </w:r>
    </w:p>
  </w:footnote>
  <w:footnote w:id="15">
    <w:p>
      <w:pPr>
        <w:pStyle w:val="FootnoteText"/>
      </w:pPr>
      <w:r>
        <w:footnoteRef/>
      </w:r>
      <w:r>
        <w:t xml:space="preserve">W.D. Hund,</w:t>
      </w:r>
      <w:r>
        <w:t xml:space="preserve"> </w:t>
      </w:r>
      <w:r>
        <w:rPr>
          <w:rStyle w:val="Kursywa"/>
        </w:rPr>
        <w:t xml:space="preserve">„It Must Come from Europe”</w:t>
      </w:r>
      <w:r>
        <w:rPr>
          <w:rStyle w:val="Kursywa"/>
        </w:rPr>
        <w:t xml:space="preserve">: The Racisms of Immanuel Kant</w:t>
      </w:r>
      <w:r>
        <w:t xml:space="preserve">, w:</w:t>
      </w:r>
      <w:r>
        <w:t xml:space="preserve"> </w:t>
      </w:r>
      <w:r>
        <w:rPr>
          <w:rStyle w:val="Kursywa"/>
        </w:rPr>
        <w:t xml:space="preserve">Racisms Made in Germany</w:t>
      </w:r>
      <w:r>
        <w:t xml:space="preserve">, red. W.D. Hund, C. Koller, M. Zimmermann, LIT-Verlag, Münster, Berlin 2011, s. 83.</w:t>
      </w:r>
    </w:p>
  </w:footnote>
  <w:footnote w:id="16">
    <w:p>
      <w:pPr>
        <w:pStyle w:val="FootnoteText"/>
      </w:pPr>
      <w:r>
        <w:footnoteRef/>
      </w:r>
      <w:r>
        <w:t xml:space="preserve">Zob. trwający cykl wykładów „Kant – Ein Rassist?”, zorganizowany w semestrze zimowym 2020/2021 przez Berlińsko-Brandenburską Akademię Nauk, trzy uniwersytety niemieckie i Uniwersytet Luksemburski, który zgromadził filozofów, teoretyków polityki, historyków, prawników i innych, by dyskutować o Kancie i rasizmie:</w:t>
      </w:r>
      <w:r>
        <w:t xml:space="preserve"> </w:t>
      </w:r>
      <w:r>
        <w:rPr>
          <w:rStyle w:val="Kursywa"/>
        </w:rPr>
        <w:t xml:space="preserve">Kant – Ein Rassist? Interdisziplinäre Diskussionsreihe</w:t>
      </w:r>
      <w:r>
        <w:t xml:space="preserve">, https://www.bbaw.de/mediathek/archiv-2020/kant-ein-rassist-interdisziplinaere-diskussionsreihe [dostęp: 24.11.2020]</w:t>
      </w:r>
      <w:r>
        <w:t xml:space="preserve">.</w:t>
      </w:r>
    </w:p>
  </w:footnote>
  <w:footnote w:id="17">
    <w:p>
      <w:pPr>
        <w:pStyle w:val="FootnoteText"/>
      </w:pPr>
      <w:r>
        <w:footnoteRef/>
      </w:r>
      <w:r>
        <w:t xml:space="preserve">M. Larrimore,</w:t>
      </w:r>
      <w:r>
        <w:t xml:space="preserve"> </w:t>
      </w:r>
      <w:r>
        <w:rPr>
          <w:rStyle w:val="Kursywa"/>
        </w:rPr>
        <w:t xml:space="preserve">Sublime Waste: Kant on the Destiny of the</w:t>
      </w:r>
      <w:r>
        <w:rPr>
          <w:rStyle w:val="Kursywa"/>
        </w:rPr>
        <w:t xml:space="preserve"> </w:t>
      </w:r>
      <w:r>
        <w:rPr>
          <w:rStyle w:val="Kursywa"/>
        </w:rPr>
        <w:t xml:space="preserve">„Races”</w:t>
      </w:r>
      <w:r>
        <w:t xml:space="preserve">,</w:t>
      </w:r>
      <w:r>
        <w:t xml:space="preserve"> </w:t>
      </w:r>
      <w:r>
        <w:t xml:space="preserve">„Canadian Journal of Philosophy”</w:t>
      </w:r>
      <w:r>
        <w:t xml:space="preserve">, 1999, t. 25; T.E. Hill, B. Boxill,</w:t>
      </w:r>
      <w:r>
        <w:t xml:space="preserve"> </w:t>
      </w:r>
      <w:r>
        <w:rPr>
          <w:rStyle w:val="Kursywa"/>
        </w:rPr>
        <w:t xml:space="preserve">Kant and Race</w:t>
      </w:r>
      <w:r>
        <w:t xml:space="preserve">, w:</w:t>
      </w:r>
      <w:r>
        <w:t xml:space="preserve"> </w:t>
      </w:r>
      <w:r>
        <w:rPr>
          <w:rStyle w:val="Kursywa"/>
        </w:rPr>
        <w:t xml:space="preserve">Race and Racism</w:t>
      </w:r>
      <w:r>
        <w:t xml:space="preserve">, red. B. Boxill, Oxford University Press, Oxford 2000; R. Bernasconi,</w:t>
      </w:r>
      <w:r>
        <w:t xml:space="preserve"> </w:t>
      </w:r>
      <w:r>
        <w:rPr>
          <w:rStyle w:val="Kursywa"/>
        </w:rPr>
        <w:t xml:space="preserve">Who Invented the Concept of Race? Kant’s Role in the Enlightenment Construction of Race</w:t>
      </w:r>
      <w:r>
        <w:t xml:space="preserve">, w:</w:t>
      </w:r>
      <w:r>
        <w:t xml:space="preserve"> </w:t>
      </w:r>
      <w:r>
        <w:rPr>
          <w:rStyle w:val="Kursywa"/>
        </w:rPr>
        <w:t xml:space="preserve">Race</w:t>
      </w:r>
      <w:r>
        <w:t xml:space="preserve">, red. R. Bernasconi, Blackwell Publishers, Malden, Mass.–Oxford 2001; R. Bernasconi,</w:t>
      </w:r>
      <w:r>
        <w:t xml:space="preserve"> </w:t>
      </w:r>
      <w:r>
        <w:rPr>
          <w:rStyle w:val="Kursywa"/>
        </w:rPr>
        <w:t xml:space="preserve">Kant as an Unfamiliar Source of Racism</w:t>
      </w:r>
      <w:r>
        <w:t xml:space="preserve">, w:</w:t>
      </w:r>
      <w:r>
        <w:t xml:space="preserve"> </w:t>
      </w:r>
      <w:r>
        <w:rPr>
          <w:rStyle w:val="Kursywa"/>
        </w:rPr>
        <w:t xml:space="preserve">Philosophers on Race: Critical Essays</w:t>
      </w:r>
      <w:r>
        <w:t xml:space="preserve">, red. T.L. Lott, J.K. Ward, Oxford University Press, Oxford 2002.</w:t>
      </w:r>
    </w:p>
  </w:footnote>
  <w:footnote w:id="18">
    <w:p>
      <w:pPr>
        <w:pStyle w:val="FootnoteText"/>
      </w:pPr>
      <w:r>
        <w:footnoteRef/>
      </w:r>
      <w:r>
        <w:t xml:space="preserve">P.D. Fenves,</w:t>
      </w:r>
      <w:r>
        <w:t xml:space="preserve"> </w:t>
      </w:r>
      <w:r>
        <w:rPr>
          <w:rStyle w:val="Kursywa"/>
        </w:rPr>
        <w:t xml:space="preserve">Late Kant: Towards Another Law of the Earth</w:t>
      </w:r>
      <w:r>
        <w:t xml:space="preserve">, Routledge, New York–London 2003; S.M. Shell,</w:t>
      </w:r>
      <w:r>
        <w:t xml:space="preserve"> </w:t>
      </w:r>
      <w:r>
        <w:rPr>
          <w:rStyle w:val="Kursywa"/>
        </w:rPr>
        <w:t xml:space="preserve">Kant’s Concept of a Human Race</w:t>
      </w:r>
      <w:r>
        <w:t xml:space="preserve">, w:</w:t>
      </w:r>
      <w:r>
        <w:t xml:space="preserve"> </w:t>
      </w:r>
      <w:r>
        <w:rPr>
          <w:rStyle w:val="Kursywa"/>
        </w:rPr>
        <w:t xml:space="preserve">The German Invention of Race</w:t>
      </w:r>
      <w:r>
        <w:t xml:space="preserve">, red. S. Eigen, M. Larrimore, State Univ. of New York Press, Albany, NY 2006; P. Kleingeld,</w:t>
      </w:r>
      <w:r>
        <w:t xml:space="preserve"> </w:t>
      </w:r>
      <w:r>
        <w:rPr>
          <w:rStyle w:val="Kursywa"/>
        </w:rPr>
        <w:t xml:space="preserve">Kant’s Second Thoughts on Race</w:t>
      </w:r>
      <w:r>
        <w:t xml:space="preserve">,</w:t>
      </w:r>
      <w:r>
        <w:t xml:space="preserve"> </w:t>
      </w:r>
      <w:r>
        <w:t xml:space="preserve">„The Philosophical Quarterly”</w:t>
      </w:r>
      <w:r>
        <w:t xml:space="preserve">, 2007, t. 57, nr 229; A. Zhavoronkov, A. Salikov,</w:t>
      </w:r>
      <w:r>
        <w:t xml:space="preserve"> </w:t>
      </w:r>
      <w:r>
        <w:rPr>
          <w:rStyle w:val="Kursywa"/>
        </w:rPr>
        <w:t xml:space="preserve">The Concept of Race in Kant’s Lectures on Anthropology</w:t>
      </w:r>
      <w:r>
        <w:t xml:space="preserve">,</w:t>
      </w:r>
      <w:r>
        <w:t xml:space="preserve"> </w:t>
      </w:r>
      <w:r>
        <w:t xml:space="preserve">„Con-Textos Kantianos. International Journal of Philosophy”</w:t>
      </w:r>
      <w:r>
        <w:t xml:space="preserve">, 2018, t. 7.</w:t>
      </w:r>
    </w:p>
  </w:footnote>
  <w:footnote w:id="19">
    <w:p>
      <w:pPr>
        <w:pStyle w:val="FootnoteText"/>
      </w:pPr>
      <w:r>
        <w:footnoteRef/>
      </w:r>
      <w:r>
        <w:t xml:space="preserve">R. Lagier,</w:t>
      </w:r>
      <w:r>
        <w:t xml:space="preserve"> </w:t>
      </w:r>
      <w:r>
        <w:rPr>
          <w:rStyle w:val="Kursywa"/>
        </w:rPr>
        <w:t xml:space="preserve">Les races humaines selon Kant</w:t>
      </w:r>
      <w:r>
        <w:t xml:space="preserve">, Presses Univ. de France, Paris 2004; O. Eberl,</w:t>
      </w:r>
      <w:r>
        <w:t xml:space="preserve"> </w:t>
      </w:r>
      <w:r>
        <w:rPr>
          <w:rStyle w:val="Kursywa"/>
        </w:rPr>
        <w:t xml:space="preserve">Kant on Race and Barbarism: Towards a More Complex View on Racism and Anti-Colonialism in Kant</w:t>
      </w:r>
      <w:r>
        <w:t xml:space="preserve">,</w:t>
      </w:r>
      <w:r>
        <w:t xml:space="preserve"> </w:t>
      </w:r>
      <w:r>
        <w:t xml:space="preserve">„Kantian Review”</w:t>
      </w:r>
      <w:r>
        <w:t xml:space="preserve">, 2019, t. 24, nr 3.</w:t>
      </w:r>
    </w:p>
  </w:footnote>
  <w:footnote w:id="20">
    <w:p>
      <w:pPr>
        <w:pStyle w:val="FootnoteText"/>
      </w:pPr>
      <w:r>
        <w:footnoteRef/>
      </w:r>
      <w:r>
        <w:t xml:space="preserve">Jedną szczególną wypowiedź o „Cyganach” z rozprawy Kanta</w:t>
      </w:r>
      <w:r>
        <w:t xml:space="preserve"> </w:t>
      </w:r>
      <w:r>
        <w:rPr>
          <w:rStyle w:val="Kursywa"/>
        </w:rPr>
        <w:t xml:space="preserve">O użytku zasad teleologicznych w filozofii</w:t>
      </w:r>
      <w:r>
        <w:t xml:space="preserve"> </w:t>
      </w:r>
      <w:r>
        <w:t xml:space="preserve">(1788) przytacza się zazwyczaj, by wykazać, że Kant wierzył w niezmienność cech rasowych, gdy już się one wykształciły. Zob.</w:t>
      </w:r>
      <w:r>
        <w:t xml:space="preserve"> </w:t>
      </w:r>
      <w:r>
        <w:t xml:space="preserve">Larrimore,</w:t>
      </w:r>
      <w:r>
        <w:t xml:space="preserve"> </w:t>
      </w:r>
      <w:r>
        <w:rPr>
          <w:rStyle w:val="Kursywa"/>
        </w:rPr>
        <w:t xml:space="preserve">Sublime Waste</w:t>
      </w:r>
      <w:r>
        <w:t xml:space="preserve">, s. 110; Bernasconi,</w:t>
      </w:r>
      <w:r>
        <w:t xml:space="preserve"> </w:t>
      </w:r>
      <w:r>
        <w:rPr>
          <w:rStyle w:val="Kursywa"/>
        </w:rPr>
        <w:t xml:space="preserve">Kant as an Unfamiliar Source</w:t>
      </w:r>
      <w:r>
        <w:t xml:space="preserve">, s. 148; Kleingeld,</w:t>
      </w:r>
      <w:r>
        <w:t xml:space="preserve"> </w:t>
      </w:r>
      <w:r>
        <w:rPr>
          <w:rStyle w:val="Kursywa"/>
        </w:rPr>
        <w:t xml:space="preserve">Kant’s Second Thoughts</w:t>
      </w:r>
      <w:r>
        <w:t xml:space="preserve">, s. 581; Eberl,</w:t>
      </w:r>
      <w:r>
        <w:t xml:space="preserve"> </w:t>
      </w:r>
      <w:r>
        <w:rPr>
          <w:rStyle w:val="Kursywa"/>
        </w:rPr>
        <w:t xml:space="preserve">Kant on Race</w:t>
      </w:r>
      <w:r>
        <w:t xml:space="preserve">, s. 404</w:t>
      </w:r>
      <w:r>
        <w:t xml:space="preserve">.</w:t>
      </w:r>
    </w:p>
  </w:footnote>
  <w:footnote w:id="21">
    <w:p>
      <w:pPr>
        <w:pStyle w:val="FootnoteText"/>
      </w:pPr>
      <w:r>
        <w:footnoteRef/>
      </w:r>
      <w:r>
        <w:t xml:space="preserve">Studium Jorisa van Gorkoma ukazało się tuż po ukończeniu niniejszego artykułu. Van Gorkom szczegółowo omawia rozważania Kanta o mieszaniu ras w jego drugiej rozprawie o rasie z 1785 r., wykorzystując zawarte w niej wypowiedzi o „Cyganach” na poparcie tezy, że Kant potępiał mieszanie ras – wbrew obronie Kanta w tej kwestii podjętej przez Kleingeld. Zob.</w:t>
      </w:r>
      <w:r>
        <w:t xml:space="preserve"> </w:t>
      </w:r>
      <w:r>
        <w:t xml:space="preserve">J. van Gorkom,</w:t>
      </w:r>
      <w:r>
        <w:t xml:space="preserve"> </w:t>
      </w:r>
      <w:r>
        <w:rPr>
          <w:rStyle w:val="Kursywa"/>
        </w:rPr>
        <w:t xml:space="preserve">Immanuel Kant on Race Mixing: The Gypsies, the Black Portuguese, and the Jews on St. Thomas</w:t>
      </w:r>
      <w:r>
        <w:t xml:space="preserve">,</w:t>
      </w:r>
      <w:r>
        <w:t xml:space="preserve"> </w:t>
      </w:r>
      <w:r>
        <w:t xml:space="preserve">„Journal of the History of Ideas”</w:t>
      </w:r>
      <w:r>
        <w:t xml:space="preserve">, 2020, t. 81, nr 3</w:t>
      </w:r>
      <w:r>
        <w:t xml:space="preserve">.</w:t>
      </w:r>
    </w:p>
  </w:footnote>
  <w:footnote w:id="22">
    <w:p>
      <w:pPr>
        <w:pStyle w:val="FootnoteText"/>
      </w:pPr>
      <w:r>
        <w:footnoteRef/>
      </w:r>
      <w:r>
        <w:t xml:space="preserve">K. Röttgers,</w:t>
      </w:r>
      <w:r>
        <w:t xml:space="preserve"> </w:t>
      </w:r>
      <w:r>
        <w:rPr>
          <w:rStyle w:val="Kursywa"/>
        </w:rPr>
        <w:t xml:space="preserve">Kants Zigeuner</w:t>
      </w:r>
      <w:r>
        <w:t xml:space="preserve">,</w:t>
      </w:r>
      <w:r>
        <w:t xml:space="preserve"> </w:t>
      </w:r>
      <w:r>
        <w:t xml:space="preserve">„Kant Studien”</w:t>
      </w:r>
      <w:r>
        <w:t xml:space="preserve">, 1997, t. 88, s. 63.</w:t>
      </w:r>
    </w:p>
  </w:footnote>
  <w:footnote w:id="23">
    <w:p>
      <w:pPr>
        <w:pStyle w:val="FootnoteText"/>
      </w:pPr>
      <w:r>
        <w:footnoteRef/>
      </w:r>
      <w:r>
        <w:rPr>
          <w:rStyle w:val="Kursywa"/>
        </w:rPr>
        <w:t xml:space="preserve">Ibidem</w:t>
      </w:r>
      <w:r>
        <w:t xml:space="preserve">, s. 73–75.</w:t>
      </w:r>
    </w:p>
  </w:footnote>
  <w:footnote w:id="24">
    <w:p>
      <w:pPr>
        <w:pStyle w:val="FootnoteText"/>
      </w:pPr>
      <w:r>
        <w:footnoteRef/>
      </w:r>
      <w:r>
        <w:rPr>
          <w:rStyle w:val="Kursywa"/>
        </w:rPr>
        <w:t xml:space="preserve">Ibidem</w:t>
      </w:r>
      <w:r>
        <w:t xml:space="preserve">, s. 64.</w:t>
      </w:r>
    </w:p>
  </w:footnote>
  <w:footnote w:id="25">
    <w:p>
      <w:pPr>
        <w:pStyle w:val="FootnoteText"/>
      </w:pPr>
      <w:r>
        <w:footnoteRef/>
      </w:r>
      <w:r>
        <w:rPr>
          <w:rStyle w:val="Kursywa"/>
        </w:rPr>
        <w:t xml:space="preserve">Ibidem</w:t>
      </w:r>
      <w:r>
        <w:t xml:space="preserve">.</w:t>
      </w:r>
      <w:r>
        <w:t xml:space="preserve"> </w:t>
      </w:r>
      <w:r>
        <w:t xml:space="preserve">Choć Kraus nigdy sam nie opublikował wyników, Röttgers przedstawia jasne dowody, że pracował nad tym tematem (</w:t>
      </w:r>
      <w:r>
        <w:rPr>
          <w:rStyle w:val="Kursywa"/>
        </w:rPr>
        <w:t xml:space="preserve">Ibidem</w:t>
      </w:r>
      <w:r>
        <w:t xml:space="preserve">, s. 64–75</w:t>
      </w:r>
      <w:r>
        <w:t xml:space="preserve">). Więcej o badaniu Krausa zob.</w:t>
      </w:r>
      <w:r>
        <w:t xml:space="preserve"> </w:t>
      </w:r>
      <w:r>
        <w:t xml:space="preserve">K. Röttgers,</w:t>
      </w:r>
      <w:r>
        <w:t xml:space="preserve"> </w:t>
      </w:r>
      <w:r>
        <w:rPr>
          <w:rStyle w:val="Kursywa"/>
        </w:rPr>
        <w:t xml:space="preserve">Kants Kollege und seine ungeschriebene Schrift über die Zigeuner</w:t>
      </w:r>
      <w:r>
        <w:t xml:space="preserve">, Manutius, Heidelberg 1993</w:t>
      </w:r>
      <w:r>
        <w:t xml:space="preserve">.</w:t>
      </w:r>
    </w:p>
  </w:footnote>
  <w:footnote w:id="26">
    <w:p>
      <w:pPr>
        <w:pStyle w:val="FootnoteText"/>
      </w:pPr>
      <w:r>
        <w:footnoteRef/>
      </w:r>
      <w:r>
        <w:t xml:space="preserve">J.E. Biester,</w:t>
      </w:r>
      <w:r>
        <w:t xml:space="preserve"> </w:t>
      </w:r>
      <w:r>
        <w:rPr>
          <w:rStyle w:val="Kursywa"/>
        </w:rPr>
        <w:t xml:space="preserve">Über die Zigeuner</w:t>
      </w:r>
      <w:r>
        <w:t xml:space="preserve">,</w:t>
      </w:r>
      <w:r>
        <w:t xml:space="preserve"> </w:t>
      </w:r>
      <w:r>
        <w:t xml:space="preserve">„Berlinische Monatsschrift”</w:t>
      </w:r>
      <w:r>
        <w:t xml:space="preserve">, 1793, t. 21.</w:t>
      </w:r>
    </w:p>
  </w:footnote>
  <w:footnote w:id="27">
    <w:p>
      <w:pPr>
        <w:pStyle w:val="FootnoteText"/>
      </w:pPr>
      <w:r>
        <w:footnoteRef/>
      </w:r>
      <w:r>
        <w:t xml:space="preserve">Röttgers,</w:t>
      </w:r>
      <w:r>
        <w:t xml:space="preserve"> </w:t>
      </w:r>
      <w:r>
        <w:rPr>
          <w:rStyle w:val="Kursywa"/>
        </w:rPr>
        <w:t xml:space="preserve">Kants Zigeuner</w:t>
      </w:r>
      <w:r>
        <w:t xml:space="preserve">, s. 67.</w:t>
      </w:r>
    </w:p>
  </w:footnote>
  <w:footnote w:id="28">
    <w:p>
      <w:pPr>
        <w:pStyle w:val="FootnoteText"/>
      </w:pPr>
      <w:r>
        <w:footnoteRef/>
      </w:r>
      <w:r>
        <w:t xml:space="preserve">M. Ruch,</w:t>
      </w:r>
      <w:r>
        <w:t xml:space="preserve"> </w:t>
      </w:r>
      <w:r>
        <w:rPr>
          <w:rStyle w:val="Kursywa"/>
        </w:rPr>
        <w:t xml:space="preserve">Zur Wissenschaftsgeschichte der deutschsprachigen</w:t>
      </w:r>
      <w:r>
        <w:rPr>
          <w:rStyle w:val="Kursywa"/>
        </w:rPr>
        <w:t xml:space="preserve"> </w:t>
      </w:r>
      <w:r>
        <w:rPr>
          <w:rStyle w:val="Kursywa"/>
        </w:rPr>
        <w:t xml:space="preserve">„Zigeunerforschung”</w:t>
      </w:r>
      <w:r>
        <w:rPr>
          <w:rStyle w:val="Kursywa"/>
        </w:rPr>
        <w:t xml:space="preserve"> </w:t>
      </w:r>
      <w:r>
        <w:rPr>
          <w:rStyle w:val="Kursywa"/>
        </w:rPr>
        <w:t xml:space="preserve">von den Anfängen bis 1900</w:t>
      </w:r>
      <w:r>
        <w:t xml:space="preserve">, [BRAK WYDAWCY], Freiburg 1986 (maszynopis pracy doktorskiej); U. Engbring-Romang,</w:t>
      </w:r>
      <w:r>
        <w:t xml:space="preserve"> </w:t>
      </w:r>
      <w:r>
        <w:rPr>
          <w:rStyle w:val="Kursywa"/>
        </w:rPr>
        <w:t xml:space="preserve">Vorurteile – naturwissenschaftlich begründet: Beiträge aufgeklärter Wissenschaftler zur Begründung des rassistischen Antiziganismus</w:t>
      </w:r>
      <w:r>
        <w:t xml:space="preserve">, w:</w:t>
      </w:r>
      <w:r>
        <w:t xml:space="preserve"> </w:t>
      </w:r>
      <w:r>
        <w:rPr>
          <w:rStyle w:val="Kursywa"/>
        </w:rPr>
        <w:t xml:space="preserve">Aufklärung und Antiziganismus</w:t>
      </w:r>
      <w:r>
        <w:t xml:space="preserve">, red. U. Engbring-Romang, D. Strauß, I-Verb.de, Seeheim 2003; W. Solms,</w:t>
      </w:r>
      <w:r>
        <w:t xml:space="preserve"> </w:t>
      </w:r>
      <w:r>
        <w:rPr>
          <w:rStyle w:val="Kursywa"/>
        </w:rPr>
        <w:t xml:space="preserve">Zigeunerbilder: Ein dunkles Kapitel der deutschen Literaturgeschichte. Von der frühen Neuzeit bis zur Romantik</w:t>
      </w:r>
      <w:r>
        <w:t xml:space="preserve">, Königshausen &amp; Neumann, Würzburg 2008, s. 117–127.</w:t>
      </w:r>
    </w:p>
  </w:footnote>
  <w:footnote w:id="29">
    <w:p>
      <w:pPr>
        <w:pStyle w:val="FootnoteText"/>
      </w:pPr>
      <w:r>
        <w:footnoteRef/>
      </w:r>
      <w:r>
        <w:t xml:space="preserve">Christian Wilhelm Büttner był zapewne jednym z pierwszych, którzy opublikowali w tej dziedzinie hipotezy językoznawcze. Jego książka</w:t>
      </w:r>
      <w:r>
        <w:t xml:space="preserve"> </w:t>
      </w:r>
      <w:r>
        <w:rPr>
          <w:rStyle w:val="Kursywa"/>
        </w:rPr>
        <w:t xml:space="preserve">Vergleichstafeln der Schriftarten verschiedener Völker</w:t>
      </w:r>
      <w:r>
        <w:t xml:space="preserve"> </w:t>
      </w:r>
      <w:r>
        <w:t xml:space="preserve">z 1771 r. zawiera jedynie krótki fragment na ten temat. Więcej na ten temat zob.</w:t>
      </w:r>
      <w:r>
        <w:t xml:space="preserve"> </w:t>
      </w:r>
      <w:r>
        <w:t xml:space="preserve">Ruch,</w:t>
      </w:r>
      <w:r>
        <w:t xml:space="preserve"> </w:t>
      </w:r>
      <w:r>
        <w:rPr>
          <w:rStyle w:val="Kursywa"/>
        </w:rPr>
        <w:t xml:space="preserve">Wissenschaftsgeschichte</w:t>
      </w:r>
      <w:r>
        <w:rPr>
          <w:rStyle w:val="Kursywa"/>
        </w:rPr>
        <w:t xml:space="preserve"> </w:t>
      </w:r>
      <w:r>
        <w:rPr>
          <w:rStyle w:val="Kursywa"/>
        </w:rPr>
        <w:t xml:space="preserve">„Zigeunerforschung”</w:t>
      </w:r>
      <w:r>
        <w:t xml:space="preserve">, s. 99</w:t>
      </w:r>
      <w:r>
        <w:t xml:space="preserve">. Innymi autorami tego czasu byli Johann Christian Christoph Rüdiger, który w 1782 r. opublikował w swojej książce rozdział zatytułowany</w:t>
      </w:r>
      <w:r>
        <w:t xml:space="preserve"> </w:t>
      </w:r>
      <w:r>
        <w:rPr>
          <w:rStyle w:val="Kursywa"/>
        </w:rPr>
        <w:t xml:space="preserve">Von der Sprache und Herkunft der Zigeuner aus Indien</w:t>
      </w:r>
      <w:r>
        <w:t xml:space="preserve"> </w:t>
      </w:r>
      <w:r>
        <w:t xml:space="preserve">(</w:t>
      </w:r>
      <w:r>
        <w:t xml:space="preserve">J.C.C. Rüdiger,</w:t>
      </w:r>
      <w:r>
        <w:t xml:space="preserve"> </w:t>
      </w:r>
      <w:r>
        <w:rPr>
          <w:rStyle w:val="Kursywa"/>
        </w:rPr>
        <w:t xml:space="preserve">Von der Sprache und Herkunft der Zigeuner aus Indien</w:t>
      </w:r>
      <w:r>
        <w:t xml:space="preserve">, w:</w:t>
      </w:r>
      <w:r>
        <w:t xml:space="preserve"> </w:t>
      </w:r>
      <w:r>
        <w:rPr>
          <w:rStyle w:val="Kursywa"/>
        </w:rPr>
        <w:t xml:space="preserve">Neuester Zuwachs der teutschen, fremden und allgemeinen Sprachkunde in einigen Aufsätzen, Bücheranzeigen und Nachrichten</w:t>
      </w:r>
      <w:r>
        <w:t xml:space="preserve">, Kummer, Leipzig 1782</w:t>
      </w:r>
      <w:r>
        <w:t xml:space="preserve">), oraz wspomniany już Biester ze swoimi artykułami w czasopiśmie z 1793 r.</w:t>
      </w:r>
    </w:p>
  </w:footnote>
  <w:footnote w:id="30">
    <w:p>
      <w:pPr>
        <w:pStyle w:val="FootnoteText"/>
      </w:pPr>
      <w:r>
        <w:footnoteRef/>
      </w:r>
      <w:r>
        <w:t xml:space="preserve">Zob.</w:t>
      </w:r>
      <w:r>
        <w:t xml:space="preserve"> </w:t>
      </w:r>
      <w:r>
        <w:t xml:space="preserve">H.M.G. Grellmann,</w:t>
      </w:r>
      <w:r>
        <w:t xml:space="preserve"> </w:t>
      </w:r>
      <w:r>
        <w:rPr>
          <w:rStyle w:val="Kursywa"/>
        </w:rPr>
        <w:t xml:space="preserve">Die Zigeuner: Ein historischer Versuch über die Lebensart und Verfassung, Sitten und Schicksahle dieses Volkes in Europa, nebst ihrem Ursprunge</w:t>
      </w:r>
      <w:r>
        <w:t xml:space="preserve">, Buchhandlung der Gelehrten, Dessau–Leipzig 1783</w:t>
      </w:r>
      <w:r>
        <w:t xml:space="preserve">. Wbrew temu, co twierdził Ruch (</w:t>
      </w:r>
      <w:r>
        <w:t xml:space="preserve">Ruch,</w:t>
      </w:r>
      <w:r>
        <w:t xml:space="preserve"> </w:t>
      </w:r>
      <w:r>
        <w:rPr>
          <w:rStyle w:val="Kursywa"/>
        </w:rPr>
        <w:t xml:space="preserve">Wissenschaftsgeschichte</w:t>
      </w:r>
      <w:r>
        <w:rPr>
          <w:rStyle w:val="Kursywa"/>
        </w:rPr>
        <w:t xml:space="preserve"> </w:t>
      </w:r>
      <w:r>
        <w:rPr>
          <w:rStyle w:val="Kursywa"/>
        </w:rPr>
        <w:t xml:space="preserve">„Zigeunerforschung”</w:t>
      </w:r>
      <w:r>
        <w:t xml:space="preserve">, s. 103</w:t>
      </w:r>
      <w:r>
        <w:t xml:space="preserve">), pierwsze wydanie zachowało się i jest dostępne w internecie http://mdz-nbn-resolving.de/urn:nbn:de:bvb:12-bsb10738388-7.</w:t>
      </w:r>
    </w:p>
  </w:footnote>
  <w:footnote w:id="31">
    <w:p>
      <w:pPr>
        <w:pStyle w:val="FootnoteText"/>
      </w:pPr>
      <w:r>
        <w:footnoteRef/>
      </w:r>
      <w:r>
        <w:t xml:space="preserve">Drugie, rozszerzone wydanie ukazało się pod nowym tytułem:</w:t>
      </w:r>
      <w:r>
        <w:t xml:space="preserve"> </w:t>
      </w:r>
      <w:r>
        <w:t xml:space="preserve">H.M.G. Grellmann,</w:t>
      </w:r>
      <w:r>
        <w:t xml:space="preserve"> </w:t>
      </w:r>
      <w:r>
        <w:rPr>
          <w:rStyle w:val="Kursywa"/>
        </w:rPr>
        <w:t xml:space="preserve">Historischer Versuch über die Zigeuner betreffend die Lebensart und Verfassung, Sitten und Schicksale dieses Volks seit seiner Erscheinung in Europa, und dessen Ursprung</w:t>
      </w:r>
      <w:r>
        <w:t xml:space="preserve">, wyd. 2, Dieterich, Göttingen 1787</w:t>
      </w:r>
      <w:r>
        <w:t xml:space="preserve">. Wersja angielska ukazała się w tym samym roku pod następującym tytułem:</w:t>
      </w:r>
      <w:r>
        <w:t xml:space="preserve"> </w:t>
      </w:r>
      <w:r>
        <w:t xml:space="preserve">H.M.G. Grellmann,</w:t>
      </w:r>
      <w:r>
        <w:t xml:space="preserve"> </w:t>
      </w:r>
      <w:r>
        <w:rPr>
          <w:rStyle w:val="Kursywa"/>
        </w:rPr>
        <w:t xml:space="preserve">Dissertation on the Gipsies, Being an Historical Enquiry, Concerning the Manner of Life, Oeconomy, Customs and Conditions of These People in Europe, and Their Origin</w:t>
      </w:r>
      <w:r>
        <w:t xml:space="preserve">, G. Bigg, London 1787</w:t>
      </w:r>
      <w:r>
        <w:t xml:space="preserve">, a w 1807 r. została wznowiona. Więcej o przekładach zob.</w:t>
      </w:r>
      <w:r>
        <w:t xml:space="preserve"> </w:t>
      </w:r>
      <w:r>
        <w:t xml:space="preserve">K. Ufen,</w:t>
      </w:r>
      <w:r>
        <w:t xml:space="preserve"> </w:t>
      </w:r>
      <w:r>
        <w:rPr>
          <w:rStyle w:val="Kursywa"/>
        </w:rPr>
        <w:t xml:space="preserve">Aus Zigeunern Menschen machen: Heinrich Moritz Gottlieb Grellmann und das Zigeunerbild der Aufklärung</w:t>
      </w:r>
      <w:r>
        <w:t xml:space="preserve">, w:</w:t>
      </w:r>
      <w:r>
        <w:t xml:space="preserve"> </w:t>
      </w:r>
      <w:r>
        <w:rPr>
          <w:rStyle w:val="Kursywa"/>
        </w:rPr>
        <w:t xml:space="preserve">Faul, fremd und frei</w:t>
      </w:r>
      <w:r>
        <w:t xml:space="preserve">, red. W.D. Hund, Unrast Verlag, Münster 2014, s. 87</w:t>
      </w:r>
      <w:r>
        <w:t xml:space="preserve">.</w:t>
      </w:r>
    </w:p>
  </w:footnote>
  <w:footnote w:id="32">
    <w:p>
      <w:pPr>
        <w:pStyle w:val="FootnoteText"/>
      </w:pPr>
      <w:r>
        <w:footnoteRef/>
      </w:r>
      <w:r>
        <w:t xml:space="preserve">Ruch,</w:t>
      </w:r>
      <w:r>
        <w:t xml:space="preserve"> </w:t>
      </w:r>
      <w:r>
        <w:rPr>
          <w:rStyle w:val="Kursywa"/>
        </w:rPr>
        <w:t xml:space="preserve">Wissenschaftsgeschichte</w:t>
      </w:r>
      <w:r>
        <w:rPr>
          <w:rStyle w:val="Kursywa"/>
        </w:rPr>
        <w:t xml:space="preserve"> </w:t>
      </w:r>
      <w:r>
        <w:rPr>
          <w:rStyle w:val="Kursywa"/>
        </w:rPr>
        <w:t xml:space="preserve">„Zigeunerforschung”</w:t>
      </w:r>
      <w:r>
        <w:t xml:space="preserve">; Willems,</w:t>
      </w:r>
      <w:r>
        <w:t xml:space="preserve"> </w:t>
      </w:r>
      <w:r>
        <w:rPr>
          <w:rStyle w:val="Kursywa"/>
        </w:rPr>
        <w:t xml:space="preserve">In Search of the True Gypsy</w:t>
      </w:r>
      <w:r>
        <w:t xml:space="preserve">.</w:t>
      </w:r>
      <w:r>
        <w:t xml:space="preserve"> </w:t>
      </w:r>
      <w:r>
        <w:t xml:space="preserve">Zob. też</w:t>
      </w:r>
      <w:r>
        <w:t xml:space="preserve"> </w:t>
      </w:r>
      <w:r>
        <w:t xml:space="preserve">C. Breger,</w:t>
      </w:r>
      <w:r>
        <w:t xml:space="preserve"> </w:t>
      </w:r>
      <w:r>
        <w:rPr>
          <w:rStyle w:val="Kursywa"/>
        </w:rPr>
        <w:t xml:space="preserve">Grellmann – der</w:t>
      </w:r>
      <w:r>
        <w:rPr>
          <w:rStyle w:val="Kursywa"/>
        </w:rPr>
        <w:t xml:space="preserve"> </w:t>
      </w:r>
      <w:r>
        <w:rPr>
          <w:rStyle w:val="Kursywa"/>
        </w:rPr>
        <w:t xml:space="preserve">„Zigeunerforscher”</w:t>
      </w:r>
      <w:r>
        <w:rPr>
          <w:rStyle w:val="Kursywa"/>
        </w:rPr>
        <w:t xml:space="preserve"> </w:t>
      </w:r>
      <w:r>
        <w:rPr>
          <w:rStyle w:val="Kursywa"/>
        </w:rPr>
        <w:t xml:space="preserve">der Aufklärung</w:t>
      </w:r>
      <w:r>
        <w:t xml:space="preserve">, w:</w:t>
      </w:r>
      <w:r>
        <w:t xml:space="preserve"> </w:t>
      </w:r>
      <w:r>
        <w:rPr>
          <w:rStyle w:val="Kursywa"/>
        </w:rPr>
        <w:t xml:space="preserve">Aufklärung und Antiziganismus</w:t>
      </w:r>
      <w:r>
        <w:t xml:space="preserve">, red. U. Engbring-Romang, D. Strauß, I-Verb.de, Seeheim 2003</w:t>
      </w:r>
      <w:r>
        <w:t xml:space="preserve"> </w:t>
      </w:r>
      <w:r>
        <w:t xml:space="preserve">i</w:t>
      </w:r>
      <w:r>
        <w:t xml:space="preserve"> </w:t>
      </w:r>
      <w:r>
        <w:t xml:space="preserve">Ufen,</w:t>
      </w:r>
      <w:r>
        <w:t xml:space="preserve"> </w:t>
      </w:r>
      <w:r>
        <w:rPr>
          <w:rStyle w:val="Kursywa"/>
        </w:rPr>
        <w:t xml:space="preserve">Aus Zigeunern Menschen machen</w:t>
      </w:r>
      <w:r>
        <w:t xml:space="preserve">.</w:t>
      </w:r>
    </w:p>
  </w:footnote>
  <w:footnote w:id="33">
    <w:p>
      <w:pPr>
        <w:pStyle w:val="FootnoteText"/>
      </w:pPr>
      <w:r>
        <w:footnoteRef/>
      </w:r>
      <w:r>
        <w:t xml:space="preserve">Ruch,</w:t>
      </w:r>
      <w:r>
        <w:t xml:space="preserve"> </w:t>
      </w:r>
      <w:r>
        <w:rPr>
          <w:rStyle w:val="Kursywa"/>
        </w:rPr>
        <w:t xml:space="preserve">Wissenschaftsgeschichte</w:t>
      </w:r>
      <w:r>
        <w:rPr>
          <w:rStyle w:val="Kursywa"/>
        </w:rPr>
        <w:t xml:space="preserve"> </w:t>
      </w:r>
      <w:r>
        <w:rPr>
          <w:rStyle w:val="Kursywa"/>
        </w:rPr>
        <w:t xml:space="preserve">„Zigeunerforschung”</w:t>
      </w:r>
      <w:r>
        <w:t xml:space="preserve">, s. 143–153.</w:t>
      </w:r>
    </w:p>
  </w:footnote>
  <w:footnote w:id="34">
    <w:p>
      <w:pPr>
        <w:pStyle w:val="FootnoteText"/>
      </w:pPr>
      <w:r>
        <w:footnoteRef/>
      </w:r>
      <w:r>
        <w:t xml:space="preserve">Eberl twierdzi, że można dostrzec zmianę w stosunku Kanta do relacji z podróży: „Choć początkowo Kant bezkrytycznie ufał opisom obcych ludów i sądom o nich zawartym w tych relacjach z podróży i je przyjmował (1764), ostatecznie stał się […] wobec nich krytyczny (1785)” (</w:t>
      </w:r>
      <w:r>
        <w:t xml:space="preserve">Eberl,</w:t>
      </w:r>
      <w:r>
        <w:t xml:space="preserve"> </w:t>
      </w:r>
      <w:r>
        <w:rPr>
          <w:rStyle w:val="Kursywa"/>
        </w:rPr>
        <w:t xml:space="preserve">Kant on Race</w:t>
      </w:r>
      <w:r>
        <w:t xml:space="preserve">, s. 390</w:t>
      </w:r>
      <w:r>
        <w:t xml:space="preserve">). Opisuje on dalej, jak Kant w późnych pismach opierał się raczej na biologicznych wyjaśnieniach „rasy” niż na relacjach z podróży (</w:t>
      </w:r>
      <w:r>
        <w:t xml:space="preserve">Eberl,</w:t>
      </w:r>
      <w:r>
        <w:t xml:space="preserve"> </w:t>
      </w:r>
      <w:r>
        <w:rPr>
          <w:rStyle w:val="Kursywa"/>
        </w:rPr>
        <w:t xml:space="preserve">Kant on Race</w:t>
      </w:r>
      <w:r>
        <w:t xml:space="preserve">, s. 408</w:t>
      </w:r>
      <w:r>
        <w:t xml:space="preserve">).</w:t>
      </w:r>
    </w:p>
  </w:footnote>
  <w:footnote w:id="35">
    <w:p>
      <w:pPr>
        <w:pStyle w:val="FootnoteText"/>
      </w:pPr>
      <w:r>
        <w:footnoteRef/>
      </w:r>
      <w:r>
        <w:t xml:space="preserve">Hund,</w:t>
      </w:r>
      <w:r>
        <w:t xml:space="preserve"> </w:t>
      </w:r>
      <w:r>
        <w:rPr>
          <w:rStyle w:val="Kursywa"/>
        </w:rPr>
        <w:t xml:space="preserve">„It Must Come from Europe”</w:t>
      </w:r>
      <w:r>
        <w:t xml:space="preserve">, s. 83.</w:t>
      </w:r>
    </w:p>
  </w:footnote>
  <w:footnote w:id="36">
    <w:p>
      <w:pPr>
        <w:pStyle w:val="FootnoteText"/>
      </w:pPr>
      <w:r>
        <w:footnoteRef/>
      </w:r>
      <w:r>
        <w:rPr>
          <w:rStyle w:val="Kursywa"/>
        </w:rPr>
        <w:t xml:space="preserve">Ibidem</w:t>
      </w:r>
      <w:r>
        <w:t xml:space="preserve">, s. 84–85.</w:t>
      </w:r>
    </w:p>
  </w:footnote>
  <w:footnote w:id="37">
    <w:p>
      <w:pPr>
        <w:pStyle w:val="FootnoteText"/>
      </w:pPr>
      <w:r>
        <w:footnoteRef/>
      </w:r>
      <w:r>
        <w:t xml:space="preserve">Dobry przegląd teorii rasy Kanta – zob.</w:t>
      </w:r>
      <w:r>
        <w:t xml:space="preserve"> </w:t>
      </w:r>
      <w:r>
        <w:t xml:space="preserve">Larrimore,</w:t>
      </w:r>
      <w:r>
        <w:t xml:space="preserve"> </w:t>
      </w:r>
      <w:r>
        <w:rPr>
          <w:rStyle w:val="Kursywa"/>
        </w:rPr>
        <w:t xml:space="preserve">Sublime Waste</w:t>
      </w:r>
      <w:r>
        <w:t xml:space="preserve">.</w:t>
      </w:r>
    </w:p>
  </w:footnote>
  <w:footnote w:id="38">
    <w:p>
      <w:pPr>
        <w:pStyle w:val="FootnoteText"/>
      </w:pPr>
      <w:r>
        <w:footnoteRef/>
      </w:r>
      <w:r>
        <w:t xml:space="preserve">Wśród nich znajdziemy filozofów Woltera i Hume’a. Zob.</w:t>
      </w:r>
      <w:r>
        <w:t xml:space="preserve"> </w:t>
      </w:r>
      <w:r>
        <w:rPr>
          <w:rStyle w:val="Kursywa"/>
        </w:rPr>
        <w:t xml:space="preserve">ibidem</w:t>
      </w:r>
      <w:r>
        <w:t xml:space="preserve">, s. 101</w:t>
      </w:r>
      <w:r>
        <w:t xml:space="preserve">.</w:t>
      </w:r>
    </w:p>
  </w:footnote>
  <w:footnote w:id="39">
    <w:p>
      <w:pPr>
        <w:pStyle w:val="FootnoteText"/>
      </w:pPr>
      <w:r>
        <w:footnoteRef/>
      </w:r>
      <w:r>
        <w:t xml:space="preserve">C. Geulen,</w:t>
      </w:r>
      <w:r>
        <w:t xml:space="preserve"> </w:t>
      </w:r>
      <w:r>
        <w:rPr>
          <w:rStyle w:val="Kursywa"/>
        </w:rPr>
        <w:t xml:space="preserve">„Rasse”</w:t>
      </w:r>
      <w:r>
        <w:rPr>
          <w:rStyle w:val="Kursywa"/>
        </w:rPr>
        <w:t xml:space="preserve"> </w:t>
      </w:r>
      <w:r>
        <w:rPr>
          <w:rStyle w:val="Kursywa"/>
        </w:rPr>
        <w:t xml:space="preserve">und</w:t>
      </w:r>
      <w:r>
        <w:rPr>
          <w:rStyle w:val="Kursywa"/>
        </w:rPr>
        <w:t xml:space="preserve"> </w:t>
      </w:r>
      <w:r>
        <w:rPr>
          <w:rStyle w:val="Kursywa"/>
        </w:rPr>
        <w:t xml:space="preserve">„Rassismus”</w:t>
      </w:r>
      <w:r>
        <w:rPr>
          <w:rStyle w:val="Kursywa"/>
        </w:rPr>
        <w:t xml:space="preserve">: Lecture in the Lecture Series</w:t>
      </w:r>
      <w:r>
        <w:rPr>
          <w:rStyle w:val="Kursywa"/>
        </w:rPr>
        <w:t xml:space="preserve"> </w:t>
      </w:r>
      <w:r>
        <w:rPr>
          <w:rStyle w:val="Kursywa"/>
        </w:rPr>
        <w:t xml:space="preserve">„Kant – Ein Rassist?”</w:t>
      </w:r>
      <w:r>
        <w:t xml:space="preserve">, 2020, https://www.db-thueringen.de/receive/dbt_mods_00046963 [dostęp: 24.11.2020].</w:t>
      </w:r>
    </w:p>
  </w:footnote>
  <w:footnote w:id="40">
    <w:p>
      <w:pPr>
        <w:pStyle w:val="FootnoteText"/>
      </w:pPr>
      <w:r>
        <w:footnoteRef/>
      </w:r>
      <w:r>
        <w:t xml:space="preserve">I. Kant,</w:t>
      </w:r>
      <w:r>
        <w:t xml:space="preserve"> </w:t>
      </w:r>
      <w:r>
        <w:rPr>
          <w:rStyle w:val="Kursywa"/>
        </w:rPr>
        <w:t xml:space="preserve">Anthropology from a Pragmatic Point of View (1798)</w:t>
      </w:r>
      <w:r>
        <w:t xml:space="preserve">, w:</w:t>
      </w:r>
      <w:r>
        <w:t xml:space="preserve"> </w:t>
      </w:r>
      <w:r>
        <w:rPr>
          <w:rStyle w:val="Kursywa"/>
        </w:rPr>
        <w:t xml:space="preserve">Anthropology, History, and Education</w:t>
      </w:r>
      <w:r>
        <w:t xml:space="preserve">, red. R. Louden, G. Zoller, Cambridge University Press, Cambridge 2010, s. 420 / AA VII 324–325</w:t>
      </w:r>
      <w:r>
        <w:t xml:space="preserve"> </w:t>
      </w:r>
      <w:r>
        <w:t xml:space="preserve">(wyróżnienia w oryginale).</w:t>
      </w:r>
    </w:p>
  </w:footnote>
  <w:footnote w:id="41">
    <w:p>
      <w:pPr>
        <w:pStyle w:val="FootnoteText"/>
      </w:pPr>
      <w:r>
        <w:footnoteRef/>
      </w:r>
      <w:r>
        <w:t xml:space="preserve">M. Horkheimer, T.W. Adorno,</w:t>
      </w:r>
      <w:r>
        <w:t xml:space="preserve"> </w:t>
      </w:r>
      <w:r>
        <w:rPr>
          <w:rStyle w:val="Kursywa"/>
        </w:rPr>
        <w:t xml:space="preserve">Dialectic of Enlightenment: Philosophical Fragments</w:t>
      </w:r>
      <w:r>
        <w:t xml:space="preserve">, red. G. Schmid Noerr, tłum. E. Jephcott, Stanford University Press, Stanford, CA 2002, s. 24.</w:t>
      </w:r>
    </w:p>
  </w:footnote>
  <w:footnote w:id="42">
    <w:p>
      <w:pPr>
        <w:pStyle w:val="FootnoteText"/>
      </w:pPr>
      <w:r>
        <w:footnoteRef/>
      </w:r>
      <w:r>
        <w:t xml:space="preserve">Szczegółowe omówienie różnic między pojęciami „ras” i „narodów” u Kanta zob.</w:t>
      </w:r>
      <w:r>
        <w:t xml:space="preserve"> </w:t>
      </w:r>
      <w:r>
        <w:t xml:space="preserve">Zhavoronkov, Salikov,</w:t>
      </w:r>
      <w:r>
        <w:t xml:space="preserve"> </w:t>
      </w:r>
      <w:r>
        <w:rPr>
          <w:rStyle w:val="Kursywa"/>
        </w:rPr>
        <w:t xml:space="preserve">Concept of Race</w:t>
      </w:r>
      <w:r>
        <w:t xml:space="preserve">, s. 285–287</w:t>
      </w:r>
      <w:r>
        <w:t xml:space="preserve">.</w:t>
      </w:r>
    </w:p>
  </w:footnote>
  <w:footnote w:id="43">
    <w:p>
      <w:pPr>
        <w:pStyle w:val="FootnoteText"/>
      </w:pPr>
      <w:r>
        <w:footnoteRef/>
      </w:r>
      <w:r>
        <w:t xml:space="preserve">Jeszcze w 1775 r. podejmowano próby dowiedzenia teorii egipskiego pochodzenia, czego przykładem jest erudyta Francesco Griselini, który w tymże roku, podczas podróży do Banatu, próbował jej dowieść, porównując obyczaje rumuńskich „Cyganów” z obyczajami starożytnych Greków (</w:t>
      </w:r>
      <w:r>
        <w:t xml:space="preserve">Ruch,</w:t>
      </w:r>
      <w:r>
        <w:t xml:space="preserve"> </w:t>
      </w:r>
      <w:r>
        <w:rPr>
          <w:rStyle w:val="Kursywa"/>
        </w:rPr>
        <w:t xml:space="preserve">Wissenschaftsgeschichte</w:t>
      </w:r>
      <w:r>
        <w:rPr>
          <w:rStyle w:val="Kursywa"/>
        </w:rPr>
        <w:t xml:space="preserve"> </w:t>
      </w:r>
      <w:r>
        <w:rPr>
          <w:rStyle w:val="Kursywa"/>
        </w:rPr>
        <w:t xml:space="preserve">„Zigeunerforschung”</w:t>
      </w:r>
      <w:r>
        <w:t xml:space="preserve">, s. 150–153</w:t>
      </w:r>
      <w:r>
        <w:t xml:space="preserve">). Więcej o różnych teoriach pochodzenia, w tym o wyobrażeniu, że była to grupa „rodzima”, które pojawiło się już w XVI w., zob.</w:t>
      </w:r>
      <w:r>
        <w:t xml:space="preserve"> </w:t>
      </w:r>
      <w:r>
        <w:t xml:space="preserve">F. Timbers,</w:t>
      </w:r>
      <w:r>
        <w:t xml:space="preserve"> </w:t>
      </w:r>
      <w:r>
        <w:rPr>
          <w:rStyle w:val="Kursywa"/>
        </w:rPr>
        <w:t xml:space="preserve">„The Damned Fraternitie”</w:t>
      </w:r>
      <w:r>
        <w:rPr>
          <w:rStyle w:val="Kursywa"/>
        </w:rPr>
        <w:t xml:space="preserve">: Constructing Gypsy Identity in Early Modern England, 1500–1700</w:t>
      </w:r>
      <w:r>
        <w:t xml:space="preserve">, Routledge, London–New York 2016, s. 7–38</w:t>
      </w:r>
      <w:r>
        <w:t xml:space="preserve">.</w:t>
      </w:r>
    </w:p>
  </w:footnote>
  <w:footnote w:id="44">
    <w:p>
      <w:pPr>
        <w:pStyle w:val="FootnoteText"/>
      </w:pPr>
      <w:r>
        <w:footnoteRef/>
      </w:r>
      <w:r>
        <w:t xml:space="preserve">Szerzej o pojęciu narodów azjatyckich u Kanta zob.</w:t>
      </w:r>
      <w:r>
        <w:t xml:space="preserve"> </w:t>
      </w:r>
      <w:r>
        <w:t xml:space="preserve">Hund,</w:t>
      </w:r>
      <w:r>
        <w:t xml:space="preserve"> </w:t>
      </w:r>
      <w:r>
        <w:rPr>
          <w:rStyle w:val="Kursywa"/>
        </w:rPr>
        <w:t xml:space="preserve">„It Must Come from Europe”</w:t>
      </w:r>
      <w:r>
        <w:t xml:space="preserve">, s. 84, 86, 90</w:t>
      </w:r>
      <w:r>
        <w:t xml:space="preserve">.</w:t>
      </w:r>
    </w:p>
  </w:footnote>
  <w:footnote w:id="45">
    <w:p>
      <w:pPr>
        <w:pStyle w:val="FootnoteText"/>
      </w:pPr>
      <w:r>
        <w:footnoteRef/>
      </w:r>
      <w:r>
        <w:t xml:space="preserve">Oryginał: „Die asiatische nationen [sic!] haben ihren Stillstand da, wo die Erweiterung ihrer Vollkommenheiten aus Begriffen geschehen mußte und nicht blos aus Anschauungen.”</w:t>
      </w:r>
      <w:r>
        <w:t xml:space="preserve"> </w:t>
      </w:r>
      <w:r>
        <w:t xml:space="preserve">I. Kant,</w:t>
      </w:r>
      <w:r>
        <w:t xml:space="preserve"> </w:t>
      </w:r>
      <w:r>
        <w:rPr>
          <w:rStyle w:val="Kursywa"/>
        </w:rPr>
        <w:t xml:space="preserve">Reflexionen zur Anthropologie</w:t>
      </w:r>
      <w:r>
        <w:t xml:space="preserve">, w:</w:t>
      </w:r>
      <w:r>
        <w:t xml:space="preserve"> </w:t>
      </w:r>
      <w:r>
        <w:rPr>
          <w:rStyle w:val="Kursywa"/>
        </w:rPr>
        <w:t xml:space="preserve">Gesammelte Schriften</w:t>
      </w:r>
      <w:r>
        <w:t xml:space="preserve">, red. Preussische Akademie der Wissenschaften, t. 15, De Gruyter, Berlin–Leipzig 1923, s. 597 / AA XV 597</w:t>
      </w:r>
      <w:r>
        <w:t xml:space="preserve">. Kant powtarzał to założenie w kilku tekstach, gdy mówił o Azjatach, Hindusach czy Indusach, por.</w:t>
      </w:r>
      <w:r>
        <w:t xml:space="preserve"> </w:t>
      </w:r>
      <w:r>
        <w:t xml:space="preserve">Larrimore,</w:t>
      </w:r>
      <w:r>
        <w:t xml:space="preserve"> </w:t>
      </w:r>
      <w:r>
        <w:rPr>
          <w:rStyle w:val="Kursywa"/>
        </w:rPr>
        <w:t xml:space="preserve">Sublime Waste</w:t>
      </w:r>
      <w:r>
        <w:t xml:space="preserve">, s. 111–112</w:t>
      </w:r>
      <w:r>
        <w:t xml:space="preserve">.</w:t>
      </w:r>
    </w:p>
  </w:footnote>
  <w:footnote w:id="46">
    <w:p>
      <w:pPr>
        <w:pStyle w:val="FootnoteText"/>
      </w:pPr>
      <w:r>
        <w:footnoteRef/>
      </w:r>
      <w:r>
        <w:t xml:space="preserve">Jak już wspomniano, w owym czasie powszechnym argumentem na rzecz monogenizmu było uznawanie klimatu i środowiska za główne czynniki wpływające zarówno na charakter, jak i na wygląd fizyczny ludzi.</w:t>
      </w:r>
    </w:p>
  </w:footnote>
  <w:footnote w:id="47">
    <w:p>
      <w:pPr>
        <w:pStyle w:val="FootnoteText"/>
      </w:pPr>
      <w:r>
        <w:footnoteRef/>
      </w:r>
      <w:r>
        <w:t xml:space="preserve">I. Kant,</w:t>
      </w:r>
      <w:r>
        <w:t xml:space="preserve"> </w:t>
      </w:r>
      <w:r>
        <w:rPr>
          <w:rStyle w:val="Kursywa"/>
        </w:rPr>
        <w:t xml:space="preserve">Of the Different Races of Human Beings (1775)</w:t>
      </w:r>
      <w:r>
        <w:t xml:space="preserve">, w:</w:t>
      </w:r>
      <w:r>
        <w:t xml:space="preserve"> </w:t>
      </w:r>
      <w:r>
        <w:rPr>
          <w:rStyle w:val="Kursywa"/>
        </w:rPr>
        <w:t xml:space="preserve">Anthropology, History, and Education</w:t>
      </w:r>
      <w:r>
        <w:t xml:space="preserve">, red. R. Louden, G. Zoller, Cambridge University Press, Cambridge 2010, s. 93 / AA II 439.</w:t>
      </w:r>
    </w:p>
  </w:footnote>
  <w:footnote w:id="48">
    <w:p>
      <w:pPr>
        <w:pStyle w:val="FootnoteText"/>
      </w:pPr>
      <w:r>
        <w:footnoteRef/>
      </w:r>
      <w:r>
        <w:t xml:space="preserve">I. Kant,</w:t>
      </w:r>
      <w:r>
        <w:t xml:space="preserve"> </w:t>
      </w:r>
      <w:r>
        <w:rPr>
          <w:rStyle w:val="Kursywa"/>
        </w:rPr>
        <w:t xml:space="preserve">Religion within the Boundaries of Mere Reason (1793)</w:t>
      </w:r>
      <w:r>
        <w:t xml:space="preserve">, w:</w:t>
      </w:r>
      <w:r>
        <w:t xml:space="preserve"> </w:t>
      </w:r>
      <w:r>
        <w:rPr>
          <w:rStyle w:val="Kursywa"/>
        </w:rPr>
        <w:t xml:space="preserve">Religion and Rational Theology</w:t>
      </w:r>
      <w:r>
        <w:t xml:space="preserve">, red. A.W. Wood, G. Di Giovanni, Cambridge University Press, Cambridge 1996, s. 163, przyp. / AA VI 136–137, przyp.</w:t>
      </w:r>
    </w:p>
  </w:footnote>
  <w:footnote w:id="49">
    <w:p>
      <w:pPr>
        <w:pStyle w:val="FootnoteText"/>
      </w:pPr>
      <w:r>
        <w:footnoteRef/>
      </w:r>
      <w:r>
        <w:t xml:space="preserve">Grellmann formułował tę hipotezę już w pierwszym wydaniu swojej książki, przywołując ich „złe nawyki”, jak pokazuje w swoim tekście Claudia Breger:</w:t>
      </w:r>
      <w:r>
        <w:t xml:space="preserve"> </w:t>
      </w:r>
      <w:r>
        <w:t xml:space="preserve">Breger,</w:t>
      </w:r>
      <w:r>
        <w:t xml:space="preserve"> </w:t>
      </w:r>
      <w:r>
        <w:rPr>
          <w:rStyle w:val="Kursywa"/>
        </w:rPr>
        <w:t xml:space="preserve">Grellmann – der</w:t>
      </w:r>
      <w:r>
        <w:rPr>
          <w:rStyle w:val="Kursywa"/>
        </w:rPr>
        <w:t xml:space="preserve"> </w:t>
      </w:r>
      <w:r>
        <w:rPr>
          <w:rStyle w:val="Kursywa"/>
        </w:rPr>
        <w:t xml:space="preserve">„Zigeunerforscher”</w:t>
      </w:r>
      <w:r>
        <w:t xml:space="preserve">, s. 65</w:t>
      </w:r>
      <w:r>
        <w:t xml:space="preserve">.</w:t>
      </w:r>
    </w:p>
  </w:footnote>
  <w:footnote w:id="50">
    <w:p>
      <w:pPr>
        <w:pStyle w:val="FootnoteText"/>
      </w:pPr>
      <w:r>
        <w:footnoteRef/>
      </w:r>
      <w:r>
        <w:t xml:space="preserve">I. Kant,</w:t>
      </w:r>
      <w:r>
        <w:t xml:space="preserve"> </w:t>
      </w:r>
      <w:r>
        <w:rPr>
          <w:rStyle w:val="Kursywa"/>
        </w:rPr>
        <w:t xml:space="preserve">Determination of the Concept of a Human Race (1785)</w:t>
      </w:r>
      <w:r>
        <w:t xml:space="preserve">, w:</w:t>
      </w:r>
      <w:r>
        <w:t xml:space="preserve"> </w:t>
      </w:r>
      <w:r>
        <w:rPr>
          <w:rStyle w:val="Kursywa"/>
        </w:rPr>
        <w:t xml:space="preserve">Anthropology, History, and Education</w:t>
      </w:r>
      <w:r>
        <w:t xml:space="preserve">, red. R. Louden, G. Zoller, Cambridge University Press, Cambridge 2010, s. 158 / AA VIII 105.</w:t>
      </w:r>
      <w:r>
        <w:t xml:space="preserve"> </w:t>
      </w:r>
      <w:r>
        <w:t xml:space="preserve">Interpretację tego fragmentu w ramach teorii rasy Kanta zob.</w:t>
      </w:r>
      <w:r>
        <w:t xml:space="preserve"> </w:t>
      </w:r>
      <w:r>
        <w:t xml:space="preserve">Hund,</w:t>
      </w:r>
      <w:r>
        <w:t xml:space="preserve"> </w:t>
      </w:r>
      <w:r>
        <w:rPr>
          <w:rStyle w:val="Kursywa"/>
        </w:rPr>
        <w:t xml:space="preserve">„It Must Come from Europe”</w:t>
      </w:r>
      <w:r>
        <w:t xml:space="preserve">, s. 84–85</w:t>
      </w:r>
      <w:r>
        <w:t xml:space="preserve">.</w:t>
      </w:r>
    </w:p>
  </w:footnote>
  <w:footnote w:id="51">
    <w:p>
      <w:pPr>
        <w:pStyle w:val="FootnoteText"/>
      </w:pPr>
      <w:r>
        <w:footnoteRef/>
      </w:r>
      <w:r>
        <w:t xml:space="preserve">I. Kant,</w:t>
      </w:r>
      <w:r>
        <w:t xml:space="preserve"> </w:t>
      </w:r>
      <w:r>
        <w:rPr>
          <w:rStyle w:val="Kursywa"/>
        </w:rPr>
        <w:t xml:space="preserve">On the Use of Teleological Principles in Philosophy (1788)</w:t>
      </w:r>
      <w:r>
        <w:t xml:space="preserve">, w:</w:t>
      </w:r>
      <w:r>
        <w:t xml:space="preserve"> </w:t>
      </w:r>
      <w:r>
        <w:rPr>
          <w:rStyle w:val="Kursywa"/>
        </w:rPr>
        <w:t xml:space="preserve">Anthropology, History, and Education</w:t>
      </w:r>
      <w:r>
        <w:t xml:space="preserve">, red. R. Louden, G. Zoller, Cambridge University Press, Cambridge 2010, s. 207 / AA VIII 172</w:t>
      </w:r>
      <w:r>
        <w:t xml:space="preserve"> </w:t>
      </w:r>
      <w:r>
        <w:t xml:space="preserve">(wyróżnienie w oryginale).</w:t>
      </w:r>
    </w:p>
  </w:footnote>
  <w:footnote w:id="52">
    <w:p>
      <w:pPr>
        <w:pStyle w:val="FootnoteText"/>
      </w:pPr>
      <w:r>
        <w:footnoteRef/>
      </w:r>
      <w:r>
        <w:rPr>
          <w:rStyle w:val="Kursywa"/>
        </w:rPr>
        <w:t xml:space="preserve">Ibidem</w:t>
      </w:r>
      <w:r>
        <w:t xml:space="preserve">, s. 209 / AA VIII 174.</w:t>
      </w:r>
    </w:p>
  </w:footnote>
  <w:footnote w:id="53">
    <w:p>
      <w:pPr>
        <w:pStyle w:val="FootnoteText"/>
      </w:pPr>
      <w:r>
        <w:footnoteRef/>
      </w:r>
      <w:r>
        <w:t xml:space="preserve">Eberl,</w:t>
      </w:r>
      <w:r>
        <w:t xml:space="preserve"> </w:t>
      </w:r>
      <w:r>
        <w:rPr>
          <w:rStyle w:val="Kursywa"/>
        </w:rPr>
        <w:t xml:space="preserve">Kant on Race</w:t>
      </w:r>
      <w:r>
        <w:t xml:space="preserve">, s. 406.</w:t>
      </w:r>
    </w:p>
  </w:footnote>
  <w:footnote w:id="54">
    <w:p>
      <w:pPr>
        <w:pStyle w:val="FootnoteText"/>
      </w:pPr>
      <w:r>
        <w:footnoteRef/>
      </w:r>
      <w:r>
        <w:t xml:space="preserve">R. Scholz,</w:t>
      </w:r>
      <w:r>
        <w:t xml:space="preserve"> </w:t>
      </w:r>
      <w:r>
        <w:rPr>
          <w:rStyle w:val="Kursywa"/>
        </w:rPr>
        <w:t xml:space="preserve">Antiziganismus und Ausnahmezustand: Der</w:t>
      </w:r>
      <w:r>
        <w:rPr>
          <w:rStyle w:val="Kursywa"/>
        </w:rPr>
        <w:t xml:space="preserve"> </w:t>
      </w:r>
      <w:r>
        <w:rPr>
          <w:rStyle w:val="Kursywa"/>
        </w:rPr>
        <w:t xml:space="preserve">„Zigeuner”</w:t>
      </w:r>
      <w:r>
        <w:rPr>
          <w:rStyle w:val="Kursywa"/>
        </w:rPr>
        <w:t xml:space="preserve"> </w:t>
      </w:r>
      <w:r>
        <w:rPr>
          <w:rStyle w:val="Kursywa"/>
        </w:rPr>
        <w:t xml:space="preserve">in der Arbeitsgesellschaft</w:t>
      </w:r>
      <w:r>
        <w:t xml:space="preserve">, w:</w:t>
      </w:r>
      <w:r>
        <w:t xml:space="preserve"> </w:t>
      </w:r>
      <w:r>
        <w:rPr>
          <w:rStyle w:val="Kursywa"/>
        </w:rPr>
        <w:t xml:space="preserve">Antiziganistische Zustände: Zur Kritik eines allgegenwärtigen Ressentiments</w:t>
      </w:r>
      <w:r>
        <w:t xml:space="preserve">, red. M. End, K. Herold, Y. Robel, Unrast Verlag, Münster 2009, s. 34.</w:t>
      </w:r>
    </w:p>
  </w:footnote>
  <w:footnote w:id="55">
    <w:p>
      <w:pPr>
        <w:pStyle w:val="FootnoteText"/>
      </w:pPr>
      <w:r>
        <w:footnoteRef/>
      </w:r>
      <w:r>
        <w:t xml:space="preserve">Niektórzy badacze krytykowali marksowskie pojęcie akumulacji pierwotnej jako zbyt europocentryczne (</w:t>
      </w:r>
      <w:r>
        <w:t xml:space="preserve">S. Amīn,</w:t>
      </w:r>
      <w:r>
        <w:t xml:space="preserve"> </w:t>
      </w:r>
      <w:r>
        <w:rPr>
          <w:rStyle w:val="Kursywa"/>
        </w:rPr>
        <w:t xml:space="preserve">Accumulation on a World Scale: A Critique of the Theory of Underdevelopment</w:t>
      </w:r>
      <w:r>
        <w:t xml:space="preserve">, Monthly Review Press, New York, NY 1974</w:t>
      </w:r>
      <w:r>
        <w:t xml:space="preserve">) albo pomijające rolę kobiet (</w:t>
      </w:r>
      <w:r>
        <w:t xml:space="preserve">M. Mies,</w:t>
      </w:r>
      <w:r>
        <w:t xml:space="preserve"> </w:t>
      </w:r>
      <w:r>
        <w:rPr>
          <w:rStyle w:val="Kursywa"/>
        </w:rPr>
        <w:t xml:space="preserve">Patriarchat und Kapital: Frauen in der internationalen Arbeitsteilung</w:t>
      </w:r>
      <w:r>
        <w:t xml:space="preserve">, Rotpunktverlag, Zürich 1988</w:t>
      </w:r>
      <w:r>
        <w:t xml:space="preserve">). Inni również posługiwali się ujęciem Marksa, by lepiej zrozumieć rozwój mechanizmów wyzysku, np. Silvia Federici w odniesieniu do kobiet (</w:t>
      </w:r>
      <w:r>
        <w:t xml:space="preserve">S. Federici,</w:t>
      </w:r>
      <w:r>
        <w:t xml:space="preserve"> </w:t>
      </w:r>
      <w:r>
        <w:rPr>
          <w:rStyle w:val="Kursywa"/>
        </w:rPr>
        <w:t xml:space="preserve">Caliban and the Witch. Women, the Body and Primitive Accumulation</w:t>
      </w:r>
      <w:r>
        <w:t xml:space="preserve">, Autonomedia, New York, NY 2004</w:t>
      </w:r>
      <w:r>
        <w:t xml:space="preserve">).</w:t>
      </w:r>
    </w:p>
  </w:footnote>
  <w:footnote w:id="56">
    <w:p>
      <w:pPr>
        <w:pStyle w:val="FootnoteText"/>
      </w:pPr>
      <w:r>
        <w:footnoteRef/>
      </w:r>
      <w:r>
        <w:t xml:space="preserve">Do XVIII w. większość romskich migrantów przybywających do Niemiec, Belgii, Francji i Niderlandów stanowili Sinti. Romscy migranci przybywający do Europy Zachodniej od XIX w. byli w większości Romami.</w:t>
      </w:r>
    </w:p>
  </w:footnote>
  <w:footnote w:id="57">
    <w:p>
      <w:pPr>
        <w:pStyle w:val="FootnoteText"/>
      </w:pPr>
      <w:r>
        <w:footnoteRef/>
      </w:r>
      <w:r>
        <w:t xml:space="preserve">K. Marx,</w:t>
      </w:r>
      <w:r>
        <w:t xml:space="preserve"> </w:t>
      </w:r>
      <w:r>
        <w:rPr>
          <w:rStyle w:val="Kursywa"/>
        </w:rPr>
        <w:t xml:space="preserve">Das Kapital: Kritik der politischen Ökonomie. Erster Band</w:t>
      </w:r>
      <w:r>
        <w:t xml:space="preserve">, Dietz, Berlin 1962 (</w:t>
      </w:r>
      <w:r>
        <w:t xml:space="preserve">„Karl Marx / Friedrich Engels: Werke”</w:t>
      </w:r>
      <w:r>
        <w:t xml:space="preserve">, 23), s. 743.</w:t>
      </w:r>
      <w:r>
        <w:t xml:space="preserve"> </w:t>
      </w:r>
      <w:r>
        <w:t xml:space="preserve">Cytuję według wydania niemieckiego (MEW 1–43), korzystając z przekładów z Marx Engels Archive https://www.marxists.org/archive/marx/works/. [W przekładzie cytaty z Marksa przytacza się według wydań polskich: K. Marks, F. Engels,</w:t>
      </w:r>
      <w:r>
        <w:t xml:space="preserve"> </w:t>
      </w:r>
      <w:r>
        <w:rPr>
          <w:rStyle w:val="Kursywa"/>
        </w:rPr>
        <w:t xml:space="preserve">Dzieła</w:t>
      </w:r>
      <w:r>
        <w:t xml:space="preserve">, t. 3 i 23, oraz K. Marks,</w:t>
      </w:r>
      <w:r>
        <w:t xml:space="preserve"> </w:t>
      </w:r>
      <w:r>
        <w:rPr>
          <w:rStyle w:val="Kursywa"/>
        </w:rPr>
        <w:t xml:space="preserve">Zarys krytyki ekonomii politycznej</w:t>
      </w:r>
      <w:r>
        <w:t xml:space="preserve"> </w:t>
      </w:r>
      <w:r>
        <w:t xml:space="preserve">– przyp. tłum.]</w:t>
      </w:r>
    </w:p>
  </w:footnote>
  <w:footnote w:id="58">
    <w:p>
      <w:pPr>
        <w:pStyle w:val="FootnoteText"/>
      </w:pPr>
      <w:r>
        <w:footnoteRef/>
      </w:r>
      <w:r>
        <w:t xml:space="preserve">Marx,</w:t>
      </w:r>
      <w:r>
        <w:t xml:space="preserve"> </w:t>
      </w:r>
      <w:r>
        <w:rPr>
          <w:rStyle w:val="Kursywa"/>
        </w:rPr>
        <w:t xml:space="preserve">Das Kapital…</w:t>
      </w:r>
      <w:r>
        <w:t xml:space="preserve">, s. 746.</w:t>
      </w:r>
    </w:p>
  </w:footnote>
  <w:footnote w:id="59">
    <w:p>
      <w:pPr>
        <w:pStyle w:val="FootnoteText"/>
      </w:pPr>
      <w:r>
        <w:footnoteRef/>
      </w:r>
      <w:r>
        <w:rPr>
          <w:rStyle w:val="Kursywa"/>
        </w:rPr>
        <w:t xml:space="preserve">Ibidem</w:t>
      </w:r>
      <w:r>
        <w:t xml:space="preserve">, s. 748–749.</w:t>
      </w:r>
    </w:p>
  </w:footnote>
  <w:footnote w:id="60">
    <w:p>
      <w:pPr>
        <w:pStyle w:val="FootnoteText"/>
      </w:pPr>
      <w:r>
        <w:footnoteRef/>
      </w:r>
      <w:r>
        <w:t xml:space="preserve">K. Marx, F. Engels,</w:t>
      </w:r>
      <w:r>
        <w:t xml:space="preserve"> </w:t>
      </w:r>
      <w:r>
        <w:rPr>
          <w:rStyle w:val="Kursywa"/>
        </w:rPr>
        <w:t xml:space="preserve">Schriften 1845–1846</w:t>
      </w:r>
      <w:r>
        <w:t xml:space="preserve">, Dietz, Berlin 1958 (</w:t>
      </w:r>
      <w:r>
        <w:t xml:space="preserve">„Karl Marx / Friedrich Engels: Werke”</w:t>
      </w:r>
      <w:r>
        <w:t xml:space="preserve">, 3), s. 56.</w:t>
      </w:r>
    </w:p>
  </w:footnote>
  <w:footnote w:id="61">
    <w:p>
      <w:pPr>
        <w:pStyle w:val="FootnoteText"/>
      </w:pPr>
      <w:r>
        <w:footnoteRef/>
      </w:r>
      <w:r>
        <w:t xml:space="preserve">Zob.</w:t>
      </w:r>
      <w:r>
        <w:t xml:space="preserve"> </w:t>
      </w:r>
      <w:r>
        <w:t xml:space="preserve">Marx,</w:t>
      </w:r>
      <w:r>
        <w:t xml:space="preserve"> </w:t>
      </w:r>
      <w:r>
        <w:rPr>
          <w:rStyle w:val="Kursywa"/>
        </w:rPr>
        <w:t xml:space="preserve">Das Kapital…</w:t>
      </w:r>
      <w:r>
        <w:t xml:space="preserve">, s. 761–762</w:t>
      </w:r>
      <w:r>
        <w:t xml:space="preserve">.</w:t>
      </w:r>
    </w:p>
  </w:footnote>
  <w:footnote w:id="62">
    <w:p>
      <w:pPr>
        <w:pStyle w:val="FootnoteText"/>
      </w:pPr>
      <w:r>
        <w:footnoteRef/>
      </w:r>
      <w:r>
        <w:rPr>
          <w:rStyle w:val="Kursywa"/>
        </w:rPr>
        <w:t xml:space="preserve">Ibidem</w:t>
      </w:r>
      <w:r>
        <w:t xml:space="preserve">, s. 762.</w:t>
      </w:r>
    </w:p>
  </w:footnote>
  <w:footnote w:id="63">
    <w:p>
      <w:pPr>
        <w:pStyle w:val="FootnoteText"/>
      </w:pPr>
      <w:r>
        <w:footnoteRef/>
      </w:r>
      <w:r>
        <w:t xml:space="preserve">K. Marx,</w:t>
      </w:r>
      <w:r>
        <w:t xml:space="preserve"> </w:t>
      </w:r>
      <w:r>
        <w:rPr>
          <w:rStyle w:val="Kursywa"/>
        </w:rPr>
        <w:t xml:space="preserve">Ökonomische Manuskripte 1857/1858</w:t>
      </w:r>
      <w:r>
        <w:t xml:space="preserve">, Dietz, Berlin 1983 (</w:t>
      </w:r>
      <w:r>
        <w:t xml:space="preserve">„Karl Marx / Friedrich Engels: Werke”</w:t>
      </w:r>
      <w:r>
        <w:t xml:space="preserve">, 42), s. 631.</w:t>
      </w:r>
    </w:p>
  </w:footnote>
  <w:footnote w:id="64">
    <w:p>
      <w:pPr>
        <w:pStyle w:val="FootnoteText"/>
      </w:pPr>
      <w:r>
        <w:footnoteRef/>
      </w:r>
      <w:r>
        <w:t xml:space="preserve">Drewniane dyby unieruchamiające stopy.</w:t>
      </w:r>
    </w:p>
  </w:footnote>
  <w:footnote w:id="65">
    <w:p>
      <w:pPr>
        <w:pStyle w:val="FootnoteText"/>
      </w:pPr>
      <w:r>
        <w:footnoteRef/>
      </w:r>
      <w:r>
        <w:t xml:space="preserve">T.E. Tomlins,</w:t>
      </w:r>
      <w:r>
        <w:t xml:space="preserve"> </w:t>
      </w:r>
      <w:r>
        <w:rPr>
          <w:rStyle w:val="Kursywa"/>
        </w:rPr>
        <w:t xml:space="preserve">The Statutes at Large, of England and of Great-Britain: From Magna Carta to the Union of the Kingdoms of Great Britain and Ireland. In Twenty Volumes</w:t>
      </w:r>
      <w:r>
        <w:t xml:space="preserve">, t. 2:</w:t>
      </w:r>
      <w:r>
        <w:t xml:space="preserve"> </w:t>
      </w:r>
      <w:r>
        <w:rPr>
          <w:rStyle w:val="Kursywa"/>
        </w:rPr>
        <w:t xml:space="preserve">From 1 Ric. II A.D. 1377 – To 19 Hen. VII. A.D. 1507</w:t>
      </w:r>
      <w:r>
        <w:t xml:space="preserve">, G. Eyre and A. Strahan, London 1811, s. 763–764.</w:t>
      </w:r>
    </w:p>
  </w:footnote>
  <w:footnote w:id="66">
    <w:p>
      <w:pPr>
        <w:pStyle w:val="FootnoteText"/>
      </w:pPr>
      <w:r>
        <w:footnoteRef/>
      </w:r>
      <w:r>
        <w:t xml:space="preserve">J. Raithby,</w:t>
      </w:r>
      <w:r>
        <w:t xml:space="preserve"> </w:t>
      </w:r>
      <w:r>
        <w:rPr>
          <w:rStyle w:val="Kursywa"/>
        </w:rPr>
        <w:t xml:space="preserve">The Statutes at Large, of England and of Great-Britain: From Magna Carta to the Union of the Kingdoms of Great Britain and Ireland. In Twenty Volumes</w:t>
      </w:r>
      <w:r>
        <w:t xml:space="preserve">, t. 3:</w:t>
      </w:r>
      <w:r>
        <w:t xml:space="preserve"> </w:t>
      </w:r>
      <w:r>
        <w:rPr>
          <w:rStyle w:val="Kursywa"/>
        </w:rPr>
        <w:t xml:space="preserve">From 1 Hen. VIII. A.D. 1509–10. – To 7 Edw. VI. A.D. 1553</w:t>
      </w:r>
      <w:r>
        <w:t xml:space="preserve">, G. Eyre and A. Strahan, London 1811, s. 91–92.</w:t>
      </w:r>
    </w:p>
  </w:footnote>
  <w:footnote w:id="67">
    <w:p>
      <w:pPr>
        <w:pStyle w:val="FootnoteText"/>
      </w:pPr>
      <w:r>
        <w:footnoteRef/>
      </w:r>
      <w:r>
        <w:t xml:space="preserve">Marx,</w:t>
      </w:r>
      <w:r>
        <w:t xml:space="preserve"> </w:t>
      </w:r>
      <w:r>
        <w:rPr>
          <w:rStyle w:val="Kursywa"/>
        </w:rPr>
        <w:t xml:space="preserve">Das Kapital…</w:t>
      </w:r>
      <w:r>
        <w:t xml:space="preserve">, s. 762.</w:t>
      </w:r>
    </w:p>
  </w:footnote>
  <w:footnote w:id="68">
    <w:p>
      <w:pPr>
        <w:pStyle w:val="FootnoteText"/>
      </w:pPr>
      <w:r>
        <w:footnoteRef/>
      </w:r>
      <w:r>
        <w:t xml:space="preserve">Raithby,</w:t>
      </w:r>
      <w:r>
        <w:t xml:space="preserve"> </w:t>
      </w:r>
      <w:r>
        <w:rPr>
          <w:rStyle w:val="Kursywa"/>
        </w:rPr>
        <w:t xml:space="preserve">The Statutes at Large…</w:t>
      </w:r>
      <w:r>
        <w:t xml:space="preserve">, t. 3, s. 89.</w:t>
      </w:r>
    </w:p>
  </w:footnote>
  <w:footnote w:id="69">
    <w:p>
      <w:pPr>
        <w:pStyle w:val="FootnoteText"/>
      </w:pPr>
      <w:r>
        <w:footnoteRef/>
      </w:r>
      <w:r>
        <w:t xml:space="preserve">D. Mayall,</w:t>
      </w:r>
      <w:r>
        <w:t xml:space="preserve"> </w:t>
      </w:r>
      <w:r>
        <w:rPr>
          <w:rStyle w:val="Kursywa"/>
        </w:rPr>
        <w:t xml:space="preserve">English Gypsies and State Policies</w:t>
      </w:r>
      <w:r>
        <w:t xml:space="preserve">, Gypsy Research Centre Univ. of Hertfordshire Press, Hertfordshire 1995, s. 25.</w:t>
      </w:r>
    </w:p>
  </w:footnote>
  <w:footnote w:id="70">
    <w:p>
      <w:pPr>
        <w:pStyle w:val="FootnoteText"/>
      </w:pPr>
      <w:r>
        <w:footnoteRef/>
      </w:r>
      <w:r>
        <w:t xml:space="preserve">D. Mayall,</w:t>
      </w:r>
      <w:r>
        <w:t xml:space="preserve"> </w:t>
      </w:r>
      <w:r>
        <w:rPr>
          <w:rStyle w:val="Kursywa"/>
        </w:rPr>
        <w:t xml:space="preserve">Gypsy Identities 1500–2000: From Egipcyans and Moon-Men to the Ethnic Romany</w:t>
      </w:r>
      <w:r>
        <w:t xml:space="preserve">, Routledge, London–New York 2004, s. 65–66; Mayall,</w:t>
      </w:r>
      <w:r>
        <w:t xml:space="preserve"> </w:t>
      </w:r>
      <w:r>
        <w:rPr>
          <w:rStyle w:val="Kursywa"/>
        </w:rPr>
        <w:t xml:space="preserve">English Gypsies</w:t>
      </w:r>
      <w:r>
        <w:t xml:space="preserve">, s. 18–26.</w:t>
      </w:r>
    </w:p>
  </w:footnote>
  <w:footnote w:id="71">
    <w:p>
      <w:pPr>
        <w:pStyle w:val="FootnoteText"/>
      </w:pPr>
      <w:r>
        <w:footnoteRef/>
      </w:r>
      <w:r>
        <w:t xml:space="preserve">J. Raithby,</w:t>
      </w:r>
      <w:r>
        <w:t xml:space="preserve"> </w:t>
      </w:r>
      <w:r>
        <w:rPr>
          <w:rStyle w:val="Kursywa"/>
        </w:rPr>
        <w:t xml:space="preserve">The Statutes at Large, of England and of Great-Britain: From Magna Carta to the Union of the Kingdoms of Great Britain and Ireland. In Twenty Volumes</w:t>
      </w:r>
      <w:r>
        <w:t xml:space="preserve">, t. 4:</w:t>
      </w:r>
      <w:r>
        <w:t xml:space="preserve"> </w:t>
      </w:r>
      <w:r>
        <w:rPr>
          <w:rStyle w:val="Kursywa"/>
        </w:rPr>
        <w:t xml:space="preserve">From 1 Mary, A.D. 1553. – To 16 Charles I. A.D. 1640</w:t>
      </w:r>
      <w:r>
        <w:t xml:space="preserve">, G. Eyre and A. Strahan, London 1811, s. 34.</w:t>
      </w:r>
    </w:p>
  </w:footnote>
  <w:footnote w:id="72">
    <w:p>
      <w:pPr>
        <w:pStyle w:val="FootnoteText"/>
      </w:pPr>
      <w:r>
        <w:footnoteRef/>
      </w:r>
      <w:r>
        <w:t xml:space="preserve">Mayall,</w:t>
      </w:r>
      <w:r>
        <w:t xml:space="preserve"> </w:t>
      </w:r>
      <w:r>
        <w:rPr>
          <w:rStyle w:val="Kursywa"/>
        </w:rPr>
        <w:t xml:space="preserve">Gypsy Identities</w:t>
      </w:r>
      <w:r>
        <w:t xml:space="preserve">, s. 79.</w:t>
      </w:r>
      <w:r>
        <w:t xml:space="preserve"> </w:t>
      </w:r>
      <w:r>
        <w:t xml:space="preserve">Na przykład ustawa z 1562 r. mówi o „włóczęgach, zwących się</w:t>
      </w:r>
      <w:r>
        <w:t xml:space="preserve"> </w:t>
      </w:r>
      <w:r>
        <w:rPr>
          <w:rStyle w:val="Kursywa"/>
        </w:rPr>
        <w:t xml:space="preserve">Egipcjanami</w:t>
      </w:r>
      <w:r>
        <w:t xml:space="preserve">” (</w:t>
      </w:r>
      <w:r>
        <w:t xml:space="preserve">Raithby,</w:t>
      </w:r>
      <w:r>
        <w:t xml:space="preserve"> </w:t>
      </w:r>
      <w:r>
        <w:rPr>
          <w:rStyle w:val="Kursywa"/>
        </w:rPr>
        <w:t xml:space="preserve">The Statutes at Large…</w:t>
      </w:r>
      <w:r>
        <w:t xml:space="preserve">, t. 4, s. 233</w:t>
      </w:r>
      <w:r>
        <w:t xml:space="preserve">).</w:t>
      </w:r>
    </w:p>
  </w:footnote>
  <w:footnote w:id="73">
    <w:p>
      <w:pPr>
        <w:pStyle w:val="FootnoteText"/>
      </w:pPr>
      <w:r>
        <w:footnoteRef/>
      </w:r>
      <w:r>
        <w:t xml:space="preserve">Marx,</w:t>
      </w:r>
      <w:r>
        <w:t xml:space="preserve"> </w:t>
      </w:r>
      <w:r>
        <w:rPr>
          <w:rStyle w:val="Kursywa"/>
        </w:rPr>
        <w:t xml:space="preserve">Das Kapital…</w:t>
      </w:r>
      <w:r>
        <w:t xml:space="preserve">, s. 762.</w:t>
      </w:r>
    </w:p>
  </w:footnote>
  <w:footnote w:id="74">
    <w:p>
      <w:pPr>
        <w:pStyle w:val="FootnoteText"/>
      </w:pPr>
      <w:r>
        <w:footnoteRef/>
      </w:r>
      <w:r>
        <w:t xml:space="preserve">Zob.</w:t>
      </w:r>
      <w:r>
        <w:t xml:space="preserve"> </w:t>
      </w:r>
      <w:r>
        <w:rPr>
          <w:rStyle w:val="Kursywa"/>
        </w:rPr>
        <w:t xml:space="preserve">ibidem</w:t>
      </w:r>
      <w:r>
        <w:t xml:space="preserve">, s. 762–770</w:t>
      </w:r>
      <w:r>
        <w:t xml:space="preserve">.</w:t>
      </w:r>
    </w:p>
  </w:footnote>
  <w:footnote w:id="75">
    <w:p>
      <w:pPr>
        <w:pStyle w:val="FootnoteText"/>
      </w:pPr>
      <w:r>
        <w:footnoteRef/>
      </w:r>
      <w:r>
        <w:rPr>
          <w:rStyle w:val="Kursywa"/>
        </w:rPr>
        <w:t xml:space="preserve">Ibidem</w:t>
      </w:r>
      <w:r>
        <w:t xml:space="preserve">, s. 764, przyp.</w:t>
      </w:r>
    </w:p>
  </w:footnote>
  <w:footnote w:id="76">
    <w:p>
      <w:pPr>
        <w:pStyle w:val="FootnoteText"/>
      </w:pPr>
      <w:r>
        <w:footnoteRef/>
      </w:r>
      <w:r>
        <w:rPr>
          <w:rStyle w:val="Kursywa"/>
        </w:rPr>
        <w:t xml:space="preserve">Ibidem</w:t>
      </w:r>
      <w:r>
        <w:t xml:space="preserve">, s. 746.</w:t>
      </w:r>
    </w:p>
  </w:footnote>
  <w:footnote w:id="77">
    <w:p>
      <w:pPr>
        <w:pStyle w:val="FootnoteText"/>
      </w:pPr>
      <w:r>
        <w:footnoteRef/>
      </w:r>
      <w:r>
        <w:t xml:space="preserve">M. Bohlender,</w:t>
      </w:r>
      <w:r>
        <w:t xml:space="preserve"> </w:t>
      </w:r>
      <w:r>
        <w:rPr>
          <w:rStyle w:val="Kursywa"/>
        </w:rPr>
        <w:t xml:space="preserve">Der Malthus-Effekt: Vom Ethos der Aufklärung zur Geburt des Liberalismus</w:t>
      </w:r>
      <w:r>
        <w:t xml:space="preserve">, w:</w:t>
      </w:r>
      <w:r>
        <w:t xml:space="preserve"> </w:t>
      </w:r>
      <w:r>
        <w:rPr>
          <w:rStyle w:val="Kursywa"/>
        </w:rPr>
        <w:t xml:space="preserve">Neustart des Weltlaufs? Fiktion und Faszination der Zeitwende</w:t>
      </w:r>
      <w:r>
        <w:t xml:space="preserve">, red. K. Fischer, Suhrkamp, Frankfurt am Main 1999, s. 44–45.</w:t>
      </w:r>
    </w:p>
  </w:footnote>
  <w:footnote w:id="78">
    <w:p>
      <w:pPr>
        <w:pStyle w:val="FootnoteText"/>
      </w:pPr>
      <w:r>
        <w:footnoteRef/>
      </w:r>
      <w:r>
        <w:t xml:space="preserve">Zob.</w:t>
      </w:r>
      <w:r>
        <w:t xml:space="preserve"> </w:t>
      </w:r>
      <w:r>
        <w:t xml:space="preserve">Marx,</w:t>
      </w:r>
      <w:r>
        <w:t xml:space="preserve"> </w:t>
      </w:r>
      <w:r>
        <w:rPr>
          <w:rStyle w:val="Kursywa"/>
        </w:rPr>
        <w:t xml:space="preserve">Das Kapital…</w:t>
      </w:r>
      <w:r>
        <w:t xml:space="preserve">, s. 663</w:t>
      </w:r>
      <w:r>
        <w:t xml:space="preserve">.</w:t>
      </w:r>
    </w:p>
  </w:footnote>
  <w:footnote w:id="79">
    <w:p>
      <w:pPr>
        <w:pStyle w:val="FootnoteText"/>
      </w:pPr>
      <w:r>
        <w:footnoteRef/>
      </w:r>
      <w:r>
        <w:rPr>
          <w:rStyle w:val="Kursywa"/>
        </w:rPr>
        <w:t xml:space="preserve">Ibidem</w:t>
      </w:r>
      <w:r>
        <w:t xml:space="preserve">, s. 724.</w:t>
      </w:r>
    </w:p>
  </w:footnote>
  <w:footnote w:id="80">
    <w:p>
      <w:pPr>
        <w:pStyle w:val="FootnoteText"/>
      </w:pPr>
      <w:r>
        <w:footnoteRef/>
      </w:r>
      <w:r>
        <w:t xml:space="preserve">Marx,</w:t>
      </w:r>
      <w:r>
        <w:t xml:space="preserve"> </w:t>
      </w:r>
      <w:r>
        <w:rPr>
          <w:rStyle w:val="Kursywa"/>
        </w:rPr>
        <w:t xml:space="preserve">Das Kapital…</w:t>
      </w:r>
      <w:r>
        <w:t xml:space="preserve">, s. 711.</w:t>
      </w:r>
    </w:p>
  </w:footnote>
  <w:footnote w:id="81">
    <w:p>
      <w:pPr>
        <w:pStyle w:val="FootnoteText"/>
      </w:pPr>
      <w:r>
        <w:footnoteRef/>
      </w:r>
      <w:r>
        <w:rPr>
          <w:rStyle w:val="Kursywa"/>
        </w:rPr>
        <w:t xml:space="preserve">Ibidem</w:t>
      </w:r>
      <w:r>
        <w:t xml:space="preserve">, s. 722.</w:t>
      </w:r>
    </w:p>
  </w:footnote>
  <w:footnote w:id="82">
    <w:p>
      <w:pPr>
        <w:pStyle w:val="FootnoteText"/>
      </w:pPr>
      <w:r>
        <w:footnoteRef/>
      </w:r>
      <w:r>
        <w:rPr>
          <w:rStyle w:val="Kursywa"/>
        </w:rPr>
        <w:t xml:space="preserve">Ibidem</w:t>
      </w:r>
      <w:r>
        <w:t xml:space="preserve">, s. 723.</w:t>
      </w:r>
    </w:p>
  </w:footnote>
  <w:footnote w:id="83">
    <w:p>
      <w:pPr>
        <w:pStyle w:val="FootnoteText"/>
      </w:pPr>
      <w:r>
        <w:footnoteRef/>
      </w:r>
      <w:r>
        <w:rPr>
          <w:rStyle w:val="Kursywa"/>
        </w:rPr>
        <w:t xml:space="preserve">Ibidem</w:t>
      </w:r>
      <w:r>
        <w:t xml:space="preserve">, s. 724.</w:t>
      </w:r>
    </w:p>
  </w:footnote>
  <w:footnote w:id="84">
    <w:p>
      <w:pPr>
        <w:pStyle w:val="FootnoteText"/>
      </w:pPr>
      <w:r>
        <w:footnoteRef/>
      </w:r>
      <w:r>
        <w:rPr>
          <w:rStyle w:val="Kursywa"/>
        </w:rPr>
        <w:t xml:space="preserve">Ibidem</w:t>
      </w:r>
      <w:r>
        <w:t xml:space="preserve">.</w:t>
      </w:r>
    </w:p>
  </w:footnote>
  <w:footnote w:id="85">
    <w:p>
      <w:pPr>
        <w:pStyle w:val="FootnoteText"/>
      </w:pPr>
      <w:r>
        <w:footnoteRef/>
      </w:r>
      <w:r>
        <w:rPr>
          <w:rStyle w:val="Kursywa"/>
        </w:rPr>
        <w:t xml:space="preserve">Ibidem</w:t>
      </w:r>
      <w:r>
        <w:t xml:space="preserve">, s. 724–725.</w:t>
      </w:r>
    </w:p>
  </w:footnote>
  <w:footnote w:id="86">
    <w:p>
      <w:pPr>
        <w:pStyle w:val="FootnoteText"/>
      </w:pPr>
      <w:r>
        <w:footnoteRef/>
      </w:r>
      <w:r>
        <w:t xml:space="preserve">Zob.</w:t>
      </w:r>
      <w:r>
        <w:t xml:space="preserve"> </w:t>
      </w:r>
      <w:r>
        <w:t xml:space="preserve">Meuser,</w:t>
      </w:r>
      <w:r>
        <w:t xml:space="preserve"> </w:t>
      </w:r>
      <w:r>
        <w:rPr>
          <w:rStyle w:val="Kursywa"/>
        </w:rPr>
        <w:t xml:space="preserve">Vagabunden und Arbeitsscheue</w:t>
      </w:r>
      <w:r>
        <w:t xml:space="preserve">.</w:t>
      </w:r>
    </w:p>
  </w:footnote>
  <w:footnote w:id="87">
    <w:p>
      <w:pPr>
        <w:pStyle w:val="FootnoteText"/>
      </w:pPr>
      <w:r>
        <w:footnoteRef/>
      </w:r>
      <w:r>
        <w:t xml:space="preserve">G.H. Zeller, A.L. Reyscher,</w:t>
      </w:r>
      <w:r>
        <w:t xml:space="preserve"> </w:t>
      </w:r>
      <w:r>
        <w:rPr>
          <w:rStyle w:val="Kursywa"/>
        </w:rPr>
        <w:t xml:space="preserve">Sammlung der württembergischen Regierungs-Gesetze: Erster Theil, enthaltend die Regierungs-Gesetze vom Jahre 1489 bis zum Jahre 1634</w:t>
      </w:r>
      <w:r>
        <w:t xml:space="preserve">, Fues, Tübingen 1841 (</w:t>
      </w:r>
      <w:r>
        <w:t xml:space="preserve">„Vollständige, historisch und kritisch bearbeitete Sammlung der württembergischen Gesetze”</w:t>
      </w:r>
      <w:r>
        <w:t xml:space="preserve">, 12), s. 115, 767–768.</w:t>
      </w:r>
    </w:p>
  </w:footnote>
  <w:footnote w:id="88">
    <w:p>
      <w:pPr>
        <w:pStyle w:val="FootnoteText"/>
      </w:pPr>
      <w:r>
        <w:footnoteRef/>
      </w:r>
      <w:r>
        <w:t xml:space="preserve">A. Landwehr,</w:t>
      </w:r>
      <w:r>
        <w:t xml:space="preserve"> </w:t>
      </w:r>
      <w:r>
        <w:rPr>
          <w:rStyle w:val="Kursywa"/>
        </w:rPr>
        <w:t xml:space="preserve">Norm, Normalität, Anomale: Zur Konstitution von Mehrheit und Minderheit in württembergischen Polizeiordnungen der Frühen Neuzeit: Juden, Zigeuner, Bettler, Vaganten</w:t>
      </w:r>
      <w:r>
        <w:t xml:space="preserve">, w:</w:t>
      </w:r>
      <w:r>
        <w:t xml:space="preserve"> </w:t>
      </w:r>
      <w:r>
        <w:rPr>
          <w:rStyle w:val="Kursywa"/>
        </w:rPr>
        <w:t xml:space="preserve">Minderheiten, Obrigkeit und Gesellschaft in der frühen Neuzeit: Integrations- und Abgrenzungsprozesse im süddeutschen Raum</w:t>
      </w:r>
      <w:r>
        <w:t xml:space="preserve">, red. M. Häberlein, M. Zürn, Scripta Mercaturae Verlag, St. Katharinen 2001, s. 61.</w:t>
      </w:r>
    </w:p>
  </w:footnote>
  <w:footnote w:id="89">
    <w:p>
      <w:pPr>
        <w:pStyle w:val="FootnoteText"/>
      </w:pPr>
      <w:r>
        <w:footnoteRef/>
      </w:r>
      <w:r>
        <w:t xml:space="preserve">Oryginał: „Verordnung gegen Zigeuner, Bettler und Vaganten”: unterstellt „den Zigeinern […] mit Mord, Raub, Zwang und Abnöthigungen Unsern Unterthanen großen Schaden und ungelegenheiten beygefügt” zu haben.</w:t>
      </w:r>
      <w:r>
        <w:t xml:space="preserve"> </w:t>
      </w:r>
      <w:r>
        <w:t xml:space="preserve">G.H. Zeller, A.L. Reyscher,</w:t>
      </w:r>
      <w:r>
        <w:t xml:space="preserve"> </w:t>
      </w:r>
      <w:r>
        <w:rPr>
          <w:rStyle w:val="Kursywa"/>
        </w:rPr>
        <w:t xml:space="preserve">Sammlung der württembergischen Regierungs-Gesetze: Zweiter Theil, enthaltend die Regierungs-Gesetze vom Jahre 1638 bis zum Jahre 1726</w:t>
      </w:r>
      <w:r>
        <w:t xml:space="preserve">, Fues, Tübingen 1842 (</w:t>
      </w:r>
      <w:r>
        <w:t xml:space="preserve">„Vollständige, historisch und kritisch bearbeitete Sammlung der württembergischen Gesetze”</w:t>
      </w:r>
      <w:r>
        <w:t xml:space="preserve">, 13), s. 81</w:t>
      </w:r>
      <w:r>
        <w:t xml:space="preserve">; zob.</w:t>
      </w:r>
      <w:r>
        <w:t xml:space="preserve"> </w:t>
      </w:r>
      <w:r>
        <w:t xml:space="preserve">Landwehr,</w:t>
      </w:r>
      <w:r>
        <w:t xml:space="preserve"> </w:t>
      </w:r>
      <w:r>
        <w:rPr>
          <w:rStyle w:val="Kursywa"/>
        </w:rPr>
        <w:t xml:space="preserve">Norm, Normalität, Anomale</w:t>
      </w:r>
      <w:r>
        <w:t xml:space="preserve">, s. 61</w:t>
      </w:r>
      <w:r>
        <w:t xml:space="preserve">.</w:t>
      </w:r>
    </w:p>
  </w:footnote>
  <w:footnote w:id="90">
    <w:p>
      <w:pPr>
        <w:pStyle w:val="FootnoteText"/>
      </w:pPr>
      <w:r>
        <w:footnoteRef/>
      </w:r>
      <w:r>
        <w:t xml:space="preserve">Oryginał: „mit Gewalt auß dem Land jagen”,</w:t>
      </w:r>
      <w:r>
        <w:t xml:space="preserve"> </w:t>
      </w:r>
      <w:r>
        <w:t xml:space="preserve">Zeller, Reyscher,</w:t>
      </w:r>
      <w:r>
        <w:t xml:space="preserve"> </w:t>
      </w:r>
      <w:r>
        <w:rPr>
          <w:rStyle w:val="Kursywa"/>
        </w:rPr>
        <w:t xml:space="preserve">Sammlung der württembergischen Regierungs-Gesetze: Zweiter Theil…</w:t>
      </w:r>
      <w:r>
        <w:t xml:space="preserve">, s. 81</w:t>
      </w:r>
      <w:r>
        <w:t xml:space="preserve">.</w:t>
      </w:r>
    </w:p>
  </w:footnote>
  <w:footnote w:id="91">
    <w:p>
      <w:pPr>
        <w:pStyle w:val="FootnoteText"/>
      </w:pPr>
      <w:r>
        <w:footnoteRef/>
      </w:r>
      <w:r>
        <w:t xml:space="preserve">Oryginał: „Verordnung wegen Austreibung der Zigeuner”,</w:t>
      </w:r>
      <w:r>
        <w:t xml:space="preserve"> </w:t>
      </w:r>
      <w:r>
        <w:t xml:space="preserve">Zeller, Reyscher,</w:t>
      </w:r>
      <w:r>
        <w:t xml:space="preserve"> </w:t>
      </w:r>
      <w:r>
        <w:rPr>
          <w:rStyle w:val="Kursywa"/>
        </w:rPr>
        <w:t xml:space="preserve">Sammlung der württembergischen Regierungs-Gesetze: Zweiter Theil…</w:t>
      </w:r>
      <w:r>
        <w:t xml:space="preserve">, s. 489</w:t>
      </w:r>
      <w:r>
        <w:t xml:space="preserve">.</w:t>
      </w:r>
    </w:p>
  </w:footnote>
  <w:footnote w:id="92">
    <w:p>
      <w:pPr>
        <w:pStyle w:val="FootnoteText"/>
      </w:pPr>
      <w:r>
        <w:footnoteRef/>
      </w:r>
      <w:r>
        <w:t xml:space="preserve">Oryginał: „dises Landschädliche Gesind außrotten helffen”,</w:t>
      </w:r>
      <w:r>
        <w:t xml:space="preserve"> </w:t>
      </w:r>
      <w:r>
        <w:t xml:space="preserve">Zeller, Reyscher,</w:t>
      </w:r>
      <w:r>
        <w:t xml:space="preserve"> </w:t>
      </w:r>
      <w:r>
        <w:rPr>
          <w:rStyle w:val="Kursywa"/>
        </w:rPr>
        <w:t xml:space="preserve">Sammlung der württembergischen Regierungs-Gesetze: Zweiter Theil…</w:t>
      </w:r>
      <w:r>
        <w:t xml:space="preserve">, s. 490</w:t>
      </w:r>
      <w:r>
        <w:t xml:space="preserve">.</w:t>
      </w:r>
    </w:p>
  </w:footnote>
  <w:footnote w:id="93">
    <w:p>
      <w:pPr>
        <w:pStyle w:val="FootnoteText"/>
      </w:pPr>
      <w:r>
        <w:footnoteRef/>
      </w:r>
      <w:r>
        <w:t xml:space="preserve">Oryginał: „gänzlicher Ausrottung”,</w:t>
      </w:r>
      <w:r>
        <w:t xml:space="preserve"> </w:t>
      </w:r>
      <w:r>
        <w:t xml:space="preserve">Zeller, Reyscher,</w:t>
      </w:r>
      <w:r>
        <w:t xml:space="preserve"> </w:t>
      </w:r>
      <w:r>
        <w:rPr>
          <w:rStyle w:val="Kursywa"/>
        </w:rPr>
        <w:t xml:space="preserve">Sammlung der württembergischen Regierungs-Gesetze: Zweiter Theil…</w:t>
      </w:r>
      <w:r>
        <w:t xml:space="preserve">, s. 822</w:t>
      </w:r>
      <w:r>
        <w:t xml:space="preserve">.</w:t>
      </w:r>
    </w:p>
  </w:footnote>
  <w:footnote w:id="94">
    <w:p>
      <w:pPr>
        <w:pStyle w:val="FootnoteText"/>
      </w:pPr>
      <w:r>
        <w:footnoteRef/>
      </w:r>
      <w:r>
        <w:t xml:space="preserve">Oryginał: „Zigeiner, Garttbrüder, Jauner und andern herrenlosen Gesindes”,</w:t>
      </w:r>
      <w:r>
        <w:t xml:space="preserve"> </w:t>
      </w:r>
      <w:r>
        <w:t xml:space="preserve">Zeller, Reyscher,</w:t>
      </w:r>
      <w:r>
        <w:t xml:space="preserve"> </w:t>
      </w:r>
      <w:r>
        <w:rPr>
          <w:rStyle w:val="Kursywa"/>
        </w:rPr>
        <w:t xml:space="preserve">Sammlung der württembergischen Regierungs-Gesetze: Zweiter Theil…</w:t>
      </w:r>
      <w:r>
        <w:t xml:space="preserve">, s. 822</w:t>
      </w:r>
      <w:r>
        <w:t xml:space="preserve">.</w:t>
      </w:r>
    </w:p>
  </w:footnote>
  <w:footnote w:id="95">
    <w:p>
      <w:pPr>
        <w:pStyle w:val="FootnoteText"/>
      </w:pPr>
      <w:r>
        <w:footnoteRef/>
      </w:r>
      <w:r>
        <w:t xml:space="preserve">Oryginał: „dieses verdammliche Zigeiner-Gesind innerhalb Vierzehn Tag von Publication dieses offenen Patents den Creyß und gantz Schwaben raumen, dafern Sie aber nach Verfliessung solcher Zeit in demselben noch betretten würden, Sie Vogelfrey und Männiglich erlaubt seyn solle, dieselbe ohne Frevel und Verantwortung […] zu erlegen, zu spoliren, und nach Belieben zu hantieren”,</w:t>
      </w:r>
      <w:r>
        <w:t xml:space="preserve"> </w:t>
      </w:r>
      <w:r>
        <w:t xml:space="preserve">Zeller, Reyscher,</w:t>
      </w:r>
      <w:r>
        <w:t xml:space="preserve"> </w:t>
      </w:r>
      <w:r>
        <w:rPr>
          <w:rStyle w:val="Kursywa"/>
        </w:rPr>
        <w:t xml:space="preserve">Sammlung der württembergischen Regierungs-Gesetze: Zweiter Theil…</w:t>
      </w:r>
      <w:r>
        <w:t xml:space="preserve">, s. 823</w:t>
      </w:r>
      <w:r>
        <w:t xml:space="preserve">.</w:t>
      </w:r>
    </w:p>
  </w:footnote>
  <w:footnote w:id="96">
    <w:p>
      <w:pPr>
        <w:pStyle w:val="FootnoteText"/>
      </w:pPr>
      <w:r>
        <w:footnoteRef/>
      </w:r>
      <w:r>
        <w:t xml:space="preserve">Oryginał: „todt geschossen”,</w:t>
      </w:r>
      <w:r>
        <w:t xml:space="preserve"> </w:t>
      </w:r>
      <w:r>
        <w:t xml:space="preserve">Zeller, Reyscher,</w:t>
      </w:r>
      <w:r>
        <w:t xml:space="preserve"> </w:t>
      </w:r>
      <w:r>
        <w:rPr>
          <w:rStyle w:val="Kursywa"/>
        </w:rPr>
        <w:t xml:space="preserve">Sammlung der württembergischen Regierungs-Gesetze: Zweiter Theil…</w:t>
      </w:r>
      <w:r>
        <w:t xml:space="preserve">, s. 823</w:t>
      </w:r>
      <w:r>
        <w:t xml:space="preserve">.</w:t>
      </w:r>
    </w:p>
  </w:footnote>
  <w:footnote w:id="97">
    <w:p>
      <w:pPr>
        <w:pStyle w:val="FootnoteText"/>
      </w:pPr>
      <w:r>
        <w:footnoteRef/>
      </w:r>
      <w:r>
        <w:t xml:space="preserve">Oryginał: „nidergelegt”,</w:t>
      </w:r>
      <w:r>
        <w:t xml:space="preserve"> </w:t>
      </w:r>
      <w:r>
        <w:t xml:space="preserve">Zeller, Reyscher,</w:t>
      </w:r>
      <w:r>
        <w:t xml:space="preserve"> </w:t>
      </w:r>
      <w:r>
        <w:rPr>
          <w:rStyle w:val="Kursywa"/>
        </w:rPr>
        <w:t xml:space="preserve">Sammlung der württembergischen Regierungs-Gesetze: Zweiter Theil…</w:t>
      </w:r>
      <w:r>
        <w:t xml:space="preserve">, s. 823</w:t>
      </w:r>
      <w:r>
        <w:t xml:space="preserve">.</w:t>
      </w:r>
    </w:p>
  </w:footnote>
  <w:footnote w:id="98">
    <w:p>
      <w:pPr>
        <w:pStyle w:val="FootnoteText"/>
      </w:pPr>
      <w:r>
        <w:footnoteRef/>
      </w:r>
      <w:r>
        <w:t xml:space="preserve">Oryginał: „ohne den wenigsten Anstandt todtschiessen”,</w:t>
      </w:r>
      <w:r>
        <w:t xml:space="preserve"> </w:t>
      </w:r>
      <w:r>
        <w:t xml:space="preserve">Zeller, Reyscher,</w:t>
      </w:r>
      <w:r>
        <w:t xml:space="preserve"> </w:t>
      </w:r>
      <w:r>
        <w:rPr>
          <w:rStyle w:val="Kursywa"/>
        </w:rPr>
        <w:t xml:space="preserve">Sammlung der württembergischen Regierungs-Gesetze: Zweiter Theil…</w:t>
      </w:r>
      <w:r>
        <w:t xml:space="preserve">, s. 824</w:t>
      </w:r>
      <w:r>
        <w:t xml:space="preserve">.</w:t>
      </w:r>
    </w:p>
  </w:footnote>
  <w:footnote w:id="99">
    <w:p>
      <w:pPr>
        <w:pStyle w:val="FootnoteText"/>
      </w:pPr>
      <w:r>
        <w:footnoteRef/>
      </w:r>
      <w:r>
        <w:t xml:space="preserve">Oryginał: „in die härtiste Gefängnüssen geworffen”,</w:t>
      </w:r>
      <w:r>
        <w:t xml:space="preserve"> </w:t>
      </w:r>
      <w:r>
        <w:t xml:space="preserve">Zeller, Reyscher,</w:t>
      </w:r>
      <w:r>
        <w:t xml:space="preserve"> </w:t>
      </w:r>
      <w:r>
        <w:rPr>
          <w:rStyle w:val="Kursywa"/>
        </w:rPr>
        <w:t xml:space="preserve">Sammlung der württembergischen Regierungs-Gesetze: Zweiter Theil…</w:t>
      </w:r>
      <w:r>
        <w:t xml:space="preserve">, s. 823</w:t>
      </w:r>
      <w:r>
        <w:t xml:space="preserve">.</w:t>
      </w:r>
    </w:p>
  </w:footnote>
  <w:footnote w:id="100">
    <w:p>
      <w:pPr>
        <w:pStyle w:val="FootnoteText"/>
      </w:pPr>
      <w:r>
        <w:footnoteRef/>
      </w:r>
      <w:r>
        <w:t xml:space="preserve">Oryginał: „wie Sie dann von dergleichen niemalhs rein seyn können”,</w:t>
      </w:r>
      <w:r>
        <w:t xml:space="preserve"> </w:t>
      </w:r>
      <w:r>
        <w:t xml:space="preserve">Zeller, Reyscher,</w:t>
      </w:r>
      <w:r>
        <w:t xml:space="preserve"> </w:t>
      </w:r>
      <w:r>
        <w:rPr>
          <w:rStyle w:val="Kursywa"/>
        </w:rPr>
        <w:t xml:space="preserve">Sammlung der württembergischen Regierungs-Gesetze: Zweiter Theil…</w:t>
      </w:r>
      <w:r>
        <w:t xml:space="preserve">, s. 823</w:t>
      </w:r>
      <w:r>
        <w:t xml:space="preserve">.</w:t>
      </w:r>
    </w:p>
  </w:footnote>
  <w:footnote w:id="101">
    <w:p>
      <w:pPr>
        <w:pStyle w:val="FootnoteText"/>
      </w:pPr>
      <w:r>
        <w:footnoteRef/>
      </w:r>
      <w:r>
        <w:t xml:space="preserve">Oryginał: „biß die gantze Race von diesem Gesind in allen Theilen des Creyses extirpiert und auff den Grund außgerottet worden”,</w:t>
      </w:r>
      <w:r>
        <w:t xml:space="preserve"> </w:t>
      </w:r>
      <w:r>
        <w:t xml:space="preserve">Zeller, Reyscher,</w:t>
      </w:r>
      <w:r>
        <w:t xml:space="preserve"> </w:t>
      </w:r>
      <w:r>
        <w:rPr>
          <w:rStyle w:val="Kursywa"/>
        </w:rPr>
        <w:t xml:space="preserve">Sammlung der württembergischen Regierungs-Gesetze: Zweiter Theil…</w:t>
      </w:r>
      <w:r>
        <w:t xml:space="preserve">, s. 824</w:t>
      </w:r>
      <w:r>
        <w:t xml:space="preserve">.</w:t>
      </w:r>
    </w:p>
  </w:footnote>
  <w:footnote w:id="102">
    <w:p>
      <w:pPr>
        <w:pStyle w:val="FootnoteText"/>
      </w:pPr>
      <w:r>
        <w:footnoteRef/>
      </w:r>
      <w:r>
        <w:t xml:space="preserve">Zob.</w:t>
      </w:r>
      <w:r>
        <w:t xml:space="preserve"> </w:t>
      </w:r>
      <w:r>
        <w:t xml:space="preserve">Meuser,</w:t>
      </w:r>
      <w:r>
        <w:t xml:space="preserve"> </w:t>
      </w:r>
      <w:r>
        <w:rPr>
          <w:rStyle w:val="Kursywa"/>
        </w:rPr>
        <w:t xml:space="preserve">Vagabunden und Arbeitsscheue</w:t>
      </w:r>
      <w:r>
        <w:t xml:space="preserve">.</w:t>
      </w:r>
    </w:p>
  </w:footnote>
  <w:footnote w:id="103">
    <w:p>
      <w:pPr>
        <w:pStyle w:val="FootnoteText"/>
      </w:pPr>
      <w:r>
        <w:footnoteRef/>
      </w:r>
      <w:r>
        <w:t xml:space="preserve">Oryginał: „mit Sicherheit davon ausgehen kann, daß eine solche Vertreibungs- und Vernichtungspolitik nicht in allen Einzelheiten in die Praxis umgesetzt wurde”,</w:t>
      </w:r>
      <w:r>
        <w:t xml:space="preserve"> </w:t>
      </w:r>
      <w:r>
        <w:t xml:space="preserve">Landwehr,</w:t>
      </w:r>
      <w:r>
        <w:t xml:space="preserve"> </w:t>
      </w:r>
      <w:r>
        <w:rPr>
          <w:rStyle w:val="Kursywa"/>
        </w:rPr>
        <w:t xml:space="preserve">Norm, Normalität, Anomale</w:t>
      </w:r>
      <w:r>
        <w:t xml:space="preserve">, s. 59</w:t>
      </w:r>
      <w:r>
        <w:t xml:space="preserve">.</w:t>
      </w:r>
    </w:p>
  </w:footnote>
  <w:footnote w:id="104">
    <w:p>
      <w:pPr>
        <w:pStyle w:val="FootnoteText"/>
      </w:pPr>
      <w:r>
        <w:footnoteRef/>
      </w:r>
      <w:r>
        <w:t xml:space="preserve">M. Reiss,</w:t>
      </w:r>
      <w:r>
        <w:t xml:space="preserve"> </w:t>
      </w:r>
      <w:r>
        <w:rPr>
          <w:rStyle w:val="Kursywa"/>
        </w:rPr>
        <w:t xml:space="preserve">Zwischen Revolte und Resignation: Das Bild des Arbeitslosen seit dem 19. Jahrhundert</w:t>
      </w:r>
      <w:r>
        <w:t xml:space="preserve">, w:</w:t>
      </w:r>
      <w:r>
        <w:t xml:space="preserve"> </w:t>
      </w:r>
      <w:r>
        <w:rPr>
          <w:rStyle w:val="Kursywa"/>
        </w:rPr>
        <w:t xml:space="preserve">Armut: Perspektiven in Kunst und Gesellschaft</w:t>
      </w:r>
      <w:r>
        <w:t xml:space="preserve">, red. H. Uerlings, N. Trauth, L. Clemens, Primus Verlag, Darmstadt 2011, s. 327.</w:t>
      </w:r>
    </w:p>
  </w:footnote>
  <w:footnote w:id="105">
    <w:p>
      <w:pPr>
        <w:pStyle w:val="FootnoteText"/>
      </w:pPr>
      <w:r>
        <w:footnoteRef/>
      </w:r>
      <w:r>
        <w:t xml:space="preserve">O przejściu od rasy do kultury i o tym, dlaczego w kontekście rasizmu stały się one wymienne, zob.</w:t>
      </w:r>
      <w:r>
        <w:t xml:space="preserve"> </w:t>
      </w:r>
      <w:r>
        <w:t xml:space="preserve">É. Balibar,</w:t>
      </w:r>
      <w:r>
        <w:t xml:space="preserve"> </w:t>
      </w:r>
      <w:r>
        <w:rPr>
          <w:rStyle w:val="Kursywa"/>
        </w:rPr>
        <w:t xml:space="preserve">Is There a</w:t>
      </w:r>
      <w:r>
        <w:rPr>
          <w:rStyle w:val="Kursywa"/>
        </w:rPr>
        <w:t xml:space="preserve"> </w:t>
      </w:r>
      <w:r>
        <w:rPr>
          <w:rStyle w:val="Kursywa"/>
        </w:rPr>
        <w:t xml:space="preserve">„Neo-Racism”</w:t>
      </w:r>
      <w:r>
        <w:rPr>
          <w:rStyle w:val="Kursywa"/>
        </w:rPr>
        <w:t xml:space="preserve">?</w:t>
      </w:r>
      <w:r>
        <w:t xml:space="preserve">, w:</w:t>
      </w:r>
      <w:r>
        <w:t xml:space="preserve"> </w:t>
      </w:r>
      <w:r>
        <w:rPr>
          <w:rStyle w:val="Kursywa"/>
        </w:rPr>
        <w:t xml:space="preserve">Race, Nation, Class: Ambiguous Identities</w:t>
      </w:r>
      <w:r>
        <w:t xml:space="preserve">, red. É. Balibar, I. Wallerstein, Verso, London 1991</w:t>
      </w:r>
      <w:r>
        <w:t xml:space="preserve">.</w:t>
      </w:r>
    </w:p>
  </w:footnote>
  <w:footnote w:id="106">
    <w:p>
      <w:pPr>
        <w:pStyle w:val="FootnoteText"/>
      </w:pPr>
      <w:r>
        <w:footnoteRef/>
      </w:r>
      <w:r>
        <w:t xml:space="preserve">Zob.</w:t>
      </w:r>
      <w:r>
        <w:t xml:space="preserve"> </w:t>
      </w:r>
      <w:r>
        <w:t xml:space="preserve">A. Reuss,</w:t>
      </w:r>
      <w:r>
        <w:t xml:space="preserve"> </w:t>
      </w:r>
      <w:r>
        <w:rPr>
          <w:rStyle w:val="Kursywa"/>
        </w:rPr>
        <w:t xml:space="preserve">Kontinuitäten der Stigmatisierung: Sinti und Roma in der deutschen Nachkriegszeit</w:t>
      </w:r>
      <w:r>
        <w:t xml:space="preserve">, Metropol, Berlin 2015</w:t>
      </w:r>
      <w:r>
        <w:t xml:space="preserve">.</w:t>
      </w:r>
    </w:p>
  </w:footnote>
  <w:footnote w:id="107">
    <w:p>
      <w:pPr>
        <w:pStyle w:val="FootnoteText"/>
      </w:pPr>
      <w:r>
        <w:footnoteRef/>
      </w:r>
      <w:r>
        <w:t xml:space="preserve">H.R. Brittnacher,</w:t>
      </w:r>
      <w:r>
        <w:t xml:space="preserve"> </w:t>
      </w:r>
      <w:r>
        <w:rPr>
          <w:rStyle w:val="Kursywa"/>
        </w:rPr>
        <w:t xml:space="preserve">Leben auf der Grenze: Klischee und Faszination des Zigeunerbildes in Literatur und Kunst</w:t>
      </w:r>
      <w:r>
        <w:t xml:space="preserve">, Wallstein Verlag, Göttingen 2012; F. Reuter,</w:t>
      </w:r>
      <w:r>
        <w:t xml:space="preserve"> </w:t>
      </w:r>
      <w:r>
        <w:rPr>
          <w:rStyle w:val="Kursywa"/>
        </w:rPr>
        <w:t xml:space="preserve">Der Bann des Fremden: Die fotografische Konstruktion des Zigeuners</w:t>
      </w:r>
      <w:r>
        <w:t xml:space="preserve">, Wallstein Verlag, Göttingen 2014.</w:t>
      </w:r>
    </w:p>
  </w:footnote>
  <w:footnote w:id="108">
    <w:p>
      <w:pPr>
        <w:pStyle w:val="FootnoteText"/>
      </w:pPr>
      <w:r>
        <w:footnoteRef/>
      </w:r>
      <w:r>
        <w:t xml:space="preserve">T. Holert, M. Terkessidis,</w:t>
      </w:r>
      <w:r>
        <w:t xml:space="preserve"> </w:t>
      </w:r>
      <w:r>
        <w:rPr>
          <w:rStyle w:val="Kursywa"/>
        </w:rPr>
        <w:t xml:space="preserve">Fliehkraft: Gesellschaft in Bewegung – von Migranten und Touristen</w:t>
      </w:r>
      <w:r>
        <w:t xml:space="preserve">, Kiepenheuer &amp; Witsch, Köln 2006.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cs="Cambria" w:eastAsia="Cambria" w:hAnsi="Cambria"/>
        <w:sz w:val="24"/>
        <w:szCs w:val="24"/>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Przypis"/>
    <w:basedOn w:val="Normal"/>
    <w:next w:val="FootnoteText"/>
    <w:uiPriority w:val="9"/>
    <w:unhideWhenUsed/>
    <w:qFormat/>
    <w:pPr>
      <w:jc w:val="both"/>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Śródtytuł" w:type="paragraph">
    <w:name w:val="Śródtytuł"/>
    <w:basedOn w:val="Normal"/>
    <w:pPr>
      <w:jc w:val="left"/>
    </w:pPr>
    <w:rPr>
      <w:b/>
    </w:rPr>
  </w:style>
  <w:style w:customStyle="1" w:styleId="ŚródtytułMAŁE" w:type="paragraph">
    <w:name w:val="Śródtytuł MAŁE"/>
    <w:basedOn w:val="Normal"/>
    <w:pPr>
      <w:jc w:val="left"/>
    </w:pPr>
    <w:rPr>
      <w:b/>
    </w:rPr>
  </w:style>
  <w:style w:customStyle="1" w:styleId="Tekst" w:type="paragraph">
    <w:name w:val="Tekst"/>
    <w:basedOn w:val="Normal"/>
    <w:pPr>
      <w:jc w:val="both"/>
    </w:pPr>
  </w:style>
  <w:style w:customStyle="1" w:styleId="TekstBEZWCIĘCIA" w:type="paragraph">
    <w:name w:val="Tekst BEZ WCIĘCIA"/>
    <w:basedOn w:val="Normal"/>
    <w:pPr>
      <w:jc w:val="both"/>
    </w:pPr>
  </w:style>
  <w:style w:customStyle="1" w:styleId="Cytat" w:type="paragraph">
    <w:name w:val="Cytat"/>
    <w:basedOn w:val="Normal"/>
    <w:pPr>
      <w:ind w:left="567"/>
      <w:jc w:val="both"/>
    </w:pPr>
  </w:style>
  <w:style w:customStyle="1" w:styleId="Wyliczenie" w:type="paragraph">
    <w:name w:val="Wyliczenie"/>
    <w:basedOn w:val="Normal"/>
    <w:pPr>
      <w:jc w:val="both"/>
    </w:pPr>
  </w:style>
  <w:style w:customStyle="1" w:styleId="Bibliografia" w:type="paragraph">
    <w:name w:val="Bibliografia"/>
    <w:basedOn w:val="Normal"/>
    <w:pPr>
      <w:jc w:val="both"/>
    </w:pPr>
  </w:style>
  <w:style w:customStyle="1" w:styleId="Podpis" w:type="paragraph">
    <w:name w:val="Podpis"/>
    <w:basedOn w:val="Normal"/>
    <w:pPr>
      <w:jc w:val="center"/>
    </w:pPr>
  </w:style>
  <w:style w:customStyle="1" w:styleId="TabelaTYTUŁ" w:type="paragraph">
    <w:name w:val="Tabela TYTUŁ"/>
    <w:basedOn w:val="Normal"/>
    <w:pPr>
      <w:jc w:val="center"/>
    </w:pPr>
  </w:style>
  <w:style w:customStyle="1" w:styleId="CytatWIERSZ" w:type="paragraph">
    <w:name w:val="Cytat WIERSZ"/>
    <w:basedOn w:val="Normal"/>
    <w:pPr>
      <w:jc w:val="left"/>
    </w:pPr>
  </w:style>
  <w:style w:customStyle="1" w:styleId="TabelaTREŚĆ" w:type="paragraph">
    <w:name w:val="Tabela TREŚĆ"/>
    <w:basedOn w:val="Normal"/>
    <w:pPr>
      <w:jc w:val="left"/>
    </w:pPr>
  </w:style>
  <w:style w:customStyle="1" w:styleId="PrzykładFORMA" w:type="paragraph">
    <w:name w:val="Przykład FORMA"/>
    <w:basedOn w:val="Normal"/>
    <w:pPr>
      <w:jc w:val="left"/>
    </w:pPr>
  </w:style>
  <w:style w:customStyle="1" w:styleId="PrzykładGLOSA" w:type="paragraph">
    <w:name w:val="Przykład GLOSA"/>
    <w:basedOn w:val="Normal"/>
    <w:pPr>
      <w:jc w:val="left"/>
    </w:pPr>
  </w:style>
  <w:style w:customStyle="1" w:styleId="PrzykładPRZEKŁAD" w:type="paragraph">
    <w:name w:val="Przykład PRZEKŁAD"/>
    <w:basedOn w:val="Normal"/>
    <w:pPr>
      <w:jc w:val="left"/>
    </w:pPr>
  </w:style>
  <w:style w:customStyle="1" w:styleId="PrzypisGWIAZDKOWY" w:type="paragraph">
    <w:name w:val="Przypis GWIAZDKOWY"/>
    <w:basedOn w:val="Normal"/>
    <w:pPr>
      <w:jc w:val="both"/>
    </w:pPr>
  </w:style>
  <w:style w:customStyle="1" w:styleId="Motto" w:type="paragraph">
    <w:name w:val="Motto"/>
    <w:basedOn w:val="Normal"/>
    <w:pPr>
      <w:jc w:val="both"/>
    </w:pPr>
  </w:style>
  <w:style w:customStyle="1" w:styleId="MottoŹRÓDŁO" w:type="paragraph">
    <w:name w:val="Motto ŹRÓDŁO"/>
    <w:basedOn w:val="Normal"/>
    <w:pPr>
      <w:jc w:val="right"/>
    </w:pPr>
  </w:style>
  <w:style w:customStyle="1" w:styleId="Mówca" w:type="paragraph">
    <w:name w:val="Mówca"/>
    <w:basedOn w:val="Normal"/>
    <w:pPr>
      <w:jc w:val="both"/>
    </w:pPr>
  </w:style>
  <w:style w:customStyle="1" w:styleId="Afiliacja" w:type="paragraph">
    <w:name w:val="Afiliacja"/>
    <w:basedOn w:val="Normal"/>
    <w:pPr>
      <w:jc w:val="both"/>
    </w:pPr>
  </w:style>
  <w:style w:customStyle="1" w:styleId="Kursywa" w:type="character">
    <w:name w:val="Kursywa"/>
    <w:rPr>
      <w:i/>
    </w:rPr>
  </w:style>
  <w:style w:customStyle="1" w:styleId="Kapitaliki" w:type="character">
    <w:name w:val="Kapitaliki"/>
    <w:rPr>
      <w:smallCaps/>
    </w:rPr>
  </w:style>
  <w:style w:customStyle="1" w:styleId="Pogrubienie" w:type="character">
    <w:name w:val="Pogrubienie"/>
  </w:style>
  <w:style w:customStyle="1" w:styleId="Proste" w:type="character">
    <w:name w:val="Proste"/>
  </w:style>
  <w:style w:customStyle="1" w:styleId="Gwiazdka" w:type="character">
    <w:name w:val="Gwiazdka"/>
    <w:rPr>
      <w:vertAlign w:val="superscript"/>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pl-PL</dc:language>
  <cp:keywords/>
  <dcterms:created xsi:type="dcterms:W3CDTF">2026-10-02T23:10:46Z</dcterms:created>
  <dcterms:modified xsi:type="dcterms:W3CDTF">2026-10-02T23:10:46Z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/var/folders/dm/f8vcbjtx0f52qknnxljq9__00000gn/T/tmp2i4pj0ff/refs.json</vt:lpwstr>
  </property>
  <property fmtid="{D5CDD505-2E9C-101B-9397-08002B2CF9AE}" pid="3" name="csl">
    <vt:lpwstr>/Users/michalbartosz/.claude/skills/srom-produkcja/csl/srom.csl</vt:lpwstr>
  </property>
  <property fmtid="{D5CDD505-2E9C-101B-9397-08002B2CF9AE}" pid="4" name="notes-after-punctuation">
    <vt:lpwstr>False</vt:lpwstr>
  </property>
  <property fmtid="{D5CDD505-2E9C-101B-9397-08002B2CF9AE}" pid="5" name="srom-config">
    <vt:lpwstr>/Users/michalbartosz/.claude/skills/srom-produkcja/config/styles.json</vt:lpwstr>
  </property>
  <property fmtid="{D5CDD505-2E9C-101B-9397-08002B2CF9AE}" pid="6" name="suppress-bibliography">
    <vt:lpwstr>True</vt:lpwstr>
  </property>
  <property fmtid="{D5CDD505-2E9C-101B-9397-08002B2CF9AE}" pid="7" name="tlumaczenie">
    <vt:lpwstr>Michał Bartosz</vt:lpwstr>
  </property>
</Properties>
</file>