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SROMprzypis-tytulowy"/>
      </w:pPr>
      <w:r>
        <w:t xml:space="preserve">Pierwodruk: N. Ndiaye,</w:t>
      </w:r>
      <w:r>
        <w:t xml:space="preserve"> </w:t>
      </w:r>
      <w:r>
        <w:rPr>
          <w:i/>
          <w:iCs/>
        </w:rPr>
        <w:t xml:space="preserve">Black Roma: Afro-Romani Connections in Early Modern Drama (and Beyond)</w:t>
      </w:r>
      <w:r>
        <w:t xml:space="preserve">, „Renaissance Quarterly”, 2022, t. 75, nr [BRAK nr], s. 1266–1302, DOI: 10.1017/rqx.2022.332. © The Author(s), 2022. Tekst opublikowany na licencji CC BY 4.0 (http://creativecommons.org/licenses/by/4.0/); niniejszy przekład stanowi zmianę utworu w rozumieniu licencji. Tłumaczenie: Michał Bartosz. Cytaty ze źródeł obcojęzycznych, o ile nie wskazano inaczej, w przekładzie tłumacza artykułu; cytaty francuskie i łacińskie przełożono z oryginałów przytoczonych przez autorkę w przypisach.</w:t>
      </w:r>
    </w:p>
    <w:p>
      <w:pPr>
        <w:pStyle w:val="SROMprzypis-tytulowy"/>
      </w:pPr>
      <w:r>
        <w:t xml:space="preserve">Szczególny dług wdzięczności mam wobec Ethel C. Brooks. Moje myślenie wiele zyskało na krytycznej hojności kręgu Theatre Without Borders, „Evanston Workshop” zorganizowanego przez Tracy C. Davis oraz panelu, który zorganizował Nigel Smith podczas konferencji MLA 2021. Serdecznie dziękuję recenzentom „Renaissance Quarterly” za wnikliwe uwagi, C. Rileyowi Snortonowi za wskazówki bibliograficzne, a Jessice Wolfe i Kim Coles za pomysł tego numeru specjalnego.</w:t>
      </w:r>
    </w:p>
    <w:p>
      <w:pPr>
        <w:pStyle w:val="Heading1"/>
      </w:pPr>
      <w:r>
        <w:t xml:space="preserve">1. WSTĘP</w:t>
      </w:r>
    </w:p>
    <w:p>
      <w:pPr>
        <w:pStyle w:val="FirstParagraph"/>
      </w:pPr>
      <w:r>
        <w:t xml:space="preserve">Niniejszy artykuł wyrasta z napięcia między dwoma momentami pozornie odległymi od siebie w przestrzeni i czasie. Pierwszy to maj 1677 roku w Londynie, kiedy King’s Company wystawiła w Theatre Royal prapremierę farsy Edwarda Ravenscrofta</w:t>
      </w:r>
      <w:r>
        <w:t xml:space="preserve"> </w:t>
      </w:r>
      <w:r>
        <w:rPr>
          <w:i/>
          <w:iCs/>
        </w:rPr>
        <w:t xml:space="preserve">Scaramouch a philosopher</w:t>
      </w:r>
      <w:r>
        <w:t xml:space="preserve"> </w:t>
      </w:r>
      <w:r>
        <w:t xml:space="preserve">(Skaramusz filozofem), czerpiącej z kilku niedawnych sztuk Moliera – przede wszystkim z</w:t>
      </w:r>
      <w:r>
        <w:t xml:space="preserve"> </w:t>
      </w:r>
      <w:r>
        <w:rPr>
          <w:i/>
          <w:iCs/>
        </w:rPr>
        <w:t xml:space="preserve">Szelmostw Skapena</w:t>
      </w:r>
      <w:r>
        <w:t xml:space="preserve"> </w:t>
      </w:r>
      <w:r>
        <w:t xml:space="preserve">(</w:t>
      </w:r>
      <w:r>
        <w:rPr>
          <w:i/>
          <w:iCs/>
        </w:rPr>
        <w:t xml:space="preserve">Les fourberies de Scapin</w:t>
      </w:r>
      <w:r>
        <w:t xml:space="preserve">, 1671). Ravenscroft przełożył na język sceny okresu Restauracji wielki dramat rasowy Moliera, którego protagonistę odczytuję jako Roma uchodzącego za białego – w ówczesnej mowie: „Cygana”</w:t>
      </w:r>
      <w:r>
        <w:rPr>
          <w:rStyle w:val="FootnoteReference"/>
        </w:rPr>
        <w:footnoteReference w:id="9"/>
      </w:r>
      <w:r>
        <w:t xml:space="preserve">. W swojej wersji Ravenscroft rozdzielił Skapena na dwie postaci typu</w:t>
      </w:r>
      <w:r>
        <w:t xml:space="preserve"> </w:t>
      </w:r>
      <w:r>
        <w:rPr>
          <w:i/>
          <w:iCs/>
        </w:rPr>
        <w:t xml:space="preserve">zanni</w:t>
      </w:r>
      <w:r>
        <w:t xml:space="preserve"> </w:t>
      </w:r>
      <w:r>
        <w:t xml:space="preserve">(służących w typologii commedii dell’arte): Plautina – który, jak wskazuje jego imię, jest „człowiekiem intrygi” – oraz Arlekina, którego czarna maska, jak przekonująco wykazał Robert Hornback, często sygnalizuje tożsamość afrykańską, zwłaszcza w drugiej połowie XVII wieku. Pierwszy moment to zatem chwila, gdy w procesie adaptacji Ravenscroft nadał Romowi uchodzącemu za białego twarz subsaharyjską</w:t>
      </w:r>
      <w:r>
        <w:rPr>
          <w:rStyle w:val="FootnoteReference"/>
        </w:rPr>
        <w:footnoteReference w:id="10"/>
      </w:r>
      <w:r>
        <w:t xml:space="preserve">. Drugi to marzec 2020 roku, kiedy w zdematerializowanej przestrzeni cyfrowej pokoju na Zoomie czołowa przedstawicielka krytycznych studiów romskich Ethel C. Brooks</w:t>
      </w:r>
      <w:r>
        <w:rPr>
          <w:rStyle w:val="FootnoteReference"/>
        </w:rPr>
        <w:footnoteReference w:id="11"/>
      </w:r>
      <w:r>
        <w:t xml:space="preserve"> </w:t>
      </w:r>
      <w:r>
        <w:t xml:space="preserve">powiedziała mi:</w:t>
      </w:r>
    </w:p>
    <w:p>
      <w:pPr>
        <w:pStyle w:val="BlockText"/>
      </w:pPr>
      <w:r>
        <w:t xml:space="preserve">Do mojej krytycznej genealogii należałoby zaliczyć zaangażowanie w myśl Audre Lorde i radykalnej tradycji czarnego feminizmu, ale z pewnością także Frantza Fanona i Édouarda Glissanta. To teoretycy, którzy mnie ukształtowali. Z pewnością również krytyczne studia nad rasą. Inspirowało mnie to odzyskiwanie i przeramowywanie narracji, któremu wielu krytycznych teoretyków rasy poświęca swoją pracę. Myślę o twórczości Dereka Walcotta i bell hooks. Przyjmuję ją i podejmuję, zawsze jako feministka. Kiedy trafiłam na uniwersytet – jako pierwsza w rodzinie absolwentka szkoły średniej, do elitarnego, niewielkiego college’u sztuk wyzwolonych – moją wspólnotą intelektualną i społeczną, moimi ludźmi, byli zawsze, od samego początku, może nawet bez zastanowienia, czarni, latynoscy, azjatycko-amerykańscy i queerowi studenci z klasy robotniczej. Bez tego nie przetrwałabym w Williams College. Ta formacja, w której uczyłam się od (tak zwanych) intelektualistów Trzeciego Świata, od czarnych intelektualistów i od intelektualistek feministycznych, była dla mnie gruntownie formująca od osiemnastego roku życia. To rzecz kluczowa i fundamentalna. […] Te polityczne solidarności i wzajemności były dla mnie bardzo ważne; zawsze widziałam w nich drogę do zrozumienia, do wytwarzania wiedzy i do wyzwolenia. […] Jako badaczki i badacze romscy mamy pełną świadomość naszego długu wobec studiów nad czarnością (</w:t>
      </w:r>
      <w:r>
        <w:rPr>
          <w:i/>
          <w:iCs/>
        </w:rPr>
        <w:t xml:space="preserve">Black studies</w:t>
      </w:r>
      <w:r>
        <w:t xml:space="preserve">), studiów postkolonialnych i dekolonialnych, które dostarczają nam ram do myślenia o wyzwoleniu i solidarności</w:t>
      </w:r>
      <w:r>
        <w:rPr>
          <w:rStyle w:val="FootnoteReference"/>
        </w:rPr>
        <w:footnoteReference w:id="12"/>
      </w:r>
      <w:r>
        <w:t xml:space="preserve">.</w:t>
      </w:r>
    </w:p>
    <w:p>
      <w:pPr>
        <w:pStyle w:val="FirstParagraph"/>
      </w:pPr>
      <w:r>
        <w:t xml:space="preserve">W niniejszym artykule przeszukuję archiwum wczesnonowożytnego dramatu europejskiego w poszukiwaniu szerszej sieci powiązań afroromskich, na którą wskazuje Arlekin Ravenscrofta, i proponuję tę sieć jako pojęciową i etyczną genealogię więzi – tak wymownie opisanych przez Brooks – które łączą dziś studia nad czarnością z raczkującą dziedziną krytycznych studiów romskich.</w:t>
      </w:r>
    </w:p>
    <w:p>
      <w:pPr>
        <w:pStyle w:val="BodyText"/>
      </w:pPr>
      <w:r>
        <w:t xml:space="preserve">Na scenach Anglii Stuartów postaci romskie często, choć nie zawsze, grano w</w:t>
      </w:r>
      <w:r>
        <w:t xml:space="preserve"> </w:t>
      </w:r>
      <w:r>
        <w:rPr>
          <w:i/>
          <w:iCs/>
        </w:rPr>
        <w:t xml:space="preserve">black-upie</w:t>
      </w:r>
      <w:r>
        <w:t xml:space="preserve">, stosując – co dobrze znane – techniki charakteryzacji podobne do tych, którymi posługiwano się przy postaciach pochodzenia subsaharyjskiego</w:t>
      </w:r>
      <w:r>
        <w:rPr>
          <w:rStyle w:val="FootnoteReference"/>
        </w:rPr>
        <w:footnoteReference w:id="13"/>
      </w:r>
      <w:r>
        <w:t xml:space="preserve"> </w:t>
      </w:r>
      <w:r>
        <w:t xml:space="preserve">(jeszcze w 2007 roku w filmie</w:t>
      </w:r>
      <w:r>
        <w:t xml:space="preserve"> </w:t>
      </w:r>
      <w:r>
        <w:rPr>
          <w:i/>
          <w:iCs/>
        </w:rPr>
        <w:t xml:space="preserve">ROMing</w:t>
      </w:r>
      <w:r>
        <w:t xml:space="preserve"> </w:t>
      </w:r>
      <w:r>
        <w:t xml:space="preserve">postaci romskie grali czescy i słowaccy aktorzy w</w:t>
      </w:r>
      <w:r>
        <w:t xml:space="preserve"> </w:t>
      </w:r>
      <w:r>
        <w:rPr>
          <w:i/>
          <w:iCs/>
        </w:rPr>
        <w:t xml:space="preserve">brownface</w:t>
      </w:r>
      <w:r>
        <w:t xml:space="preserve">)</w:t>
      </w:r>
      <w:r>
        <w:rPr>
          <w:rStyle w:val="FootnoteReference"/>
        </w:rPr>
        <w:footnoteReference w:id="14"/>
      </w:r>
      <w:r>
        <w:t xml:space="preserve">. W niniejszym artykule wychodzę jednak poza techniki gry scenicznej, aby dotrzeć do korzeni tego niesystematycznego, a zarazem powracającego zestawiania Romów z Afrykanami we wczesnonowożytnych porządkach estetycznych. Interesujące mnie zestawienie nie jest tym, które łączy Romów z mieszkańcami Afryki Północnej na podstawie legendarnego egipskiego pochodzenia tak zwanych „Cyganów”; łączy ono Romów z Afrykanami subsaharyjskimi. Twierdzę, że zestawienie to działało pod znakiem niewoli i handlu ludźmi w epoce rodzącego się kapitalizmu. Podczas gdy bowiem Afrykanie subsaharyjscy przez cały renesans padali ofiarą śródziemnomorskiego, a potem transatlantyckiego handlu niewolnikami – ten ostatni gwałtownie przyspieszył w połowie XVII wieku – Romowie w XVII wieku zostali poddani wczesnonowożytnej wersji masowego uwięzienia: silna kryminalizacja uczyniła z nich upragnioną zniewoloną siłę roboczą dla galer kilku zachodnich monarchów.</w:t>
      </w:r>
    </w:p>
    <w:p>
      <w:pPr>
        <w:pStyle w:val="BodyText"/>
      </w:pPr>
      <w:r>
        <w:t xml:space="preserve">Historia zniewolenia Romów sięga oczywiście dalej wstecz. Od XIV wieku Romowie byli zniewoleni w różnych częściach dzisiejszej Rumunii (w księstwach wołoskim i mołdawskim, a także w Siedmiogrodzie): niewolnictwo było tam akceptowane przez państwo i realizowane za pośrednictwem rozbudowanego aparatu prawnego</w:t>
      </w:r>
      <w:r>
        <w:rPr>
          <w:rStyle w:val="FootnoteReference"/>
        </w:rPr>
        <w:footnoteReference w:id="15"/>
      </w:r>
      <w:r>
        <w:t xml:space="preserve">. W języku rumuńskim słowo</w:t>
      </w:r>
      <w:r>
        <w:t xml:space="preserve"> </w:t>
      </w:r>
      <w:r>
        <w:rPr>
          <w:i/>
          <w:iCs/>
        </w:rPr>
        <w:t xml:space="preserve">Rom</w:t>
      </w:r>
      <w:r>
        <w:t xml:space="preserve"> </w:t>
      </w:r>
      <w:r>
        <w:t xml:space="preserve">stało się więc synonimem słowa</w:t>
      </w:r>
      <w:r>
        <w:t xml:space="preserve"> </w:t>
      </w:r>
      <w:r>
        <w:rPr>
          <w:i/>
          <w:iCs/>
        </w:rPr>
        <w:t xml:space="preserve">niewolnik</w:t>
      </w:r>
      <w:r>
        <w:rPr>
          <w:rStyle w:val="FootnoteReference"/>
        </w:rPr>
        <w:footnoteReference w:id="16"/>
      </w:r>
      <w:r>
        <w:t xml:space="preserve"> </w:t>
      </w:r>
      <w:r>
        <w:t xml:space="preserve">– na tej samej zasadzie, na jakiej słowo</w:t>
      </w:r>
      <w:r>
        <w:t xml:space="preserve"> </w:t>
      </w:r>
      <w:r>
        <w:rPr>
          <w:i/>
          <w:iCs/>
        </w:rPr>
        <w:t xml:space="preserve">negro</w:t>
      </w:r>
      <w:r>
        <w:t xml:space="preserve"> </w:t>
      </w:r>
      <w:r>
        <w:t xml:space="preserve">stało się synonimem słowa</w:t>
      </w:r>
      <w:r>
        <w:t xml:space="preserve"> </w:t>
      </w:r>
      <w:r>
        <w:rPr>
          <w:i/>
          <w:iCs/>
        </w:rPr>
        <w:t xml:space="preserve">esclavo</w:t>
      </w:r>
      <w:r>
        <w:t xml:space="preserve"> </w:t>
      </w:r>
      <w:r>
        <w:t xml:space="preserve">w XVI-wiecznej Hiszpanii</w:t>
      </w:r>
      <w:r>
        <w:rPr>
          <w:rStyle w:val="FootnoteReference"/>
        </w:rPr>
        <w:footnoteReference w:id="17"/>
      </w:r>
      <w:r>
        <w:t xml:space="preserve">. Jak wyjaśniają Felix Chang i Sunnie Rucker-Chang, „choć niewolnictwo ograniczało się do części CSEE [Europy Środkowej i Południowo-Wschodniej], instytucja ta wywarła nieproporcjonalnie duży wpływ na współczesne postrzeganie Romów. W szczególności niektóre wpływowe badania powiązały dziedzictwo niewolnictwa ze współczesną marginalizacją”</w:t>
      </w:r>
      <w:r>
        <w:rPr>
          <w:rStyle w:val="FootnoteReference"/>
        </w:rPr>
        <w:footnoteReference w:id="18"/>
      </w:r>
      <w:r>
        <w:t xml:space="preserve">. Wyłączne skupienie na losie Romów w Europie Środkowej i Południowo-Wschodniej miało jednak długo ten rozgrzeszający skutek, że pomijało Europę Zachodnią w historiografii zniewolenia Romów. Ja natomiast chcę się skupić na dynamice zniewolenia Romów we wczesnonowożytnej Francji i Anglii – dynamice, na którą mogła z kolei wpływać wiedza o dawnych i wciąż trwających praktykach zniewolenia w Europie Środkowej i Południowo-Wschodniej.</w:t>
      </w:r>
    </w:p>
    <w:p>
      <w:pPr>
        <w:pStyle w:val="BodyText"/>
      </w:pPr>
      <w:r>
        <w:t xml:space="preserve">We wczesnonowożytnej Europie Zachodniej Romów poddawano przymusowej asymilacji albo wywłaszczano z ich własnej pracy na galerach – obie te formy prześladowania wymuszały ich wchłonięcie przez rodzącą się gospodarkę kapitalistyczną, której, jak się zdawało, zagrażał ich koczowniczy tryb życia. Położenie Romów we wczesnonowożytnej Europie ilustruje zatem błyskotliwą obserwację Dénètema Touama Bony, zainspirowaną pracami Yanna Mouliera Boutanga, że „jednym z głównych motorów historii kapitalizmu jest unieruchamianie wiecznie zbiegłej siły roboczej”</w:t>
      </w:r>
      <w:r>
        <w:rPr>
          <w:rStyle w:val="FootnoteReference"/>
        </w:rPr>
        <w:footnoteReference w:id="19"/>
      </w:r>
      <w:r>
        <w:t xml:space="preserve">. Jak ujmuje to Carol Mejia-LaPerle, we wczesnonowożytnej Anglii „Cyganie” są prześladowani, ponieważ „opierają się zawłaszczaniu przez państwo wartości dodatkowej prawowitej pracy i odrzucają zobowiązania społeczne niezbędne do reprodukowania zasad i priorytetów wspólnoty politycznej”</w:t>
      </w:r>
      <w:r>
        <w:rPr>
          <w:rStyle w:val="FootnoteReference"/>
        </w:rPr>
        <w:footnoteReference w:id="20"/>
      </w:r>
      <w:r>
        <w:t xml:space="preserve">. Jak zauważa Sydnee Wagner, romskie zakłócenie kapitalistycznej logiki produkcji kształtuje reakcyjne przedstawienia kulturowe Romów jako „istot, które jedynie masowo konsumowały i potwornie się rozmnażały”</w:t>
      </w:r>
      <w:r>
        <w:rPr>
          <w:rStyle w:val="FootnoteReference"/>
        </w:rPr>
        <w:footnoteReference w:id="21"/>
      </w:r>
      <w:r>
        <w:t xml:space="preserve">. Ta sama logika obowiązywała po drugiej stronie kanału La Manche: we Francji, jak wyjaśnia Henriette Asséo, „państwo XVII wieku jawi się jako państwo przejściowe, które do swego zwykłego trybu represyjnego stara się dołączyć funkcję przymusu lepiej odpowiadającą narodzinom kapitalizmu. Wykorzystanie włóczęgów, a co za tym idzie</w:t>
      </w:r>
      <w:r>
        <w:t xml:space="preserve"> </w:t>
      </w:r>
      <w:r>
        <w:rPr>
          <w:i/>
          <w:iCs/>
        </w:rPr>
        <w:t xml:space="preserve">Bohémiens</w:t>
      </w:r>
      <w:r>
        <w:t xml:space="preserve">, w produkcji poprzez proces »wielkiego zamknięcia« wpisuje się w tę ewolucję”</w:t>
      </w:r>
      <w:r>
        <w:rPr>
          <w:rStyle w:val="FootnoteReference"/>
        </w:rPr>
        <w:footnoteReference w:id="22"/>
      </w:r>
      <w:r>
        <w:t xml:space="preserve">. Kultura teatralna po obu stronach kanału La Manche ujawnia podobne usytuowanie zniewolonych Romów i Afrykanów subsaharyjskich w logice wczesnonowożytnej białej supremacji, która urasawiała zarówno Romów, jak i ludzi afrodiasporycznych po to, by w epoce rodzącego się kapitalizmu przemienić ich ciała w zamienne towary</w:t>
      </w:r>
      <w:r>
        <w:rPr>
          <w:rStyle w:val="FootnoteReference"/>
        </w:rPr>
        <w:footnoteReference w:id="23"/>
      </w:r>
      <w:r>
        <w:t xml:space="preserve">.</w:t>
      </w:r>
    </w:p>
    <w:p>
      <w:pPr>
        <w:pStyle w:val="BodyText"/>
      </w:pPr>
      <w:r>
        <w:t xml:space="preserve">Dostrzeżenie tego zestawienia w sferze estetycznej wymaga zwrócenia uwagi na archiwa literackie, które długo pozostawały zaniedbane. Większość anglojęzycznych badań literaturoznawczych, które wniosły dotąd wkład w studia nad Romami we wczesnej nowożytności, koncentrowała się na literaturze łotrzykowskiej, a w obrębie archiwum dramatycznego – na hiperkanonicznych tekstach elżbietańskich i jakubowych, takich jak</w:t>
      </w:r>
      <w:r>
        <w:t xml:space="preserve"> </w:t>
      </w:r>
      <w:r>
        <w:rPr>
          <w:i/>
          <w:iCs/>
        </w:rPr>
        <w:t xml:space="preserve">Antoniusz i Kleopatra</w:t>
      </w:r>
      <w:r>
        <w:t xml:space="preserve"> </w:t>
      </w:r>
      <w:r>
        <w:t xml:space="preserve">(</w:t>
      </w:r>
      <w:r>
        <w:rPr>
          <w:i/>
          <w:iCs/>
        </w:rPr>
        <w:t xml:space="preserve">Antony and Cleopatra</w:t>
      </w:r>
      <w:r>
        <w:t xml:space="preserve">, 1607) Szekspira czy maska Bena Jonsona</w:t>
      </w:r>
      <w:r>
        <w:t xml:space="preserve"> </w:t>
      </w:r>
      <w:r>
        <w:rPr>
          <w:i/>
          <w:iCs/>
        </w:rPr>
        <w:t xml:space="preserve">The Gypsies Metamorphos’d</w:t>
      </w:r>
      <w:r>
        <w:t xml:space="preserve"> </w:t>
      </w:r>
      <w:r>
        <w:t xml:space="preserve">(Przemienieni Cyganie, 1621)</w:t>
      </w:r>
      <w:r>
        <w:rPr>
          <w:rStyle w:val="FootnoteReference"/>
        </w:rPr>
        <w:footnoteReference w:id="24"/>
      </w:r>
      <w:r>
        <w:t xml:space="preserve">. Nie negując znaczenia tych sztuk, chciałabym zasugerować, że poszerzenie archiwów teatralnych, z którymi pracujemy, zamiast wydłużać ścieżki krytyczne, może pomóc odsłonić ważne tajne przejścia. Może pomóc nam szybciej dotrzeć do sedna jednego z kluczowych projektów napędzających krytyczne studia nad rasą w epoce wczesnonowożytnej: do zrozumienia splecionej architektury przednowoczesnych formacji rasowych w obrębie tego, co nazywam matrycą rasową. Czytając niemal nieznane sztuki barokowe, takie jak</w:t>
      </w:r>
      <w:r>
        <w:t xml:space="preserve"> </w:t>
      </w:r>
      <w:r>
        <w:rPr>
          <w:i/>
          <w:iCs/>
        </w:rPr>
        <w:t xml:space="preserve">Le fidelle esclave</w:t>
      </w:r>
      <w:r>
        <w:t xml:space="preserve"> </w:t>
      </w:r>
      <w:r>
        <w:t xml:space="preserve">(Wierny niewolnik) czy</w:t>
      </w:r>
      <w:r>
        <w:t xml:space="preserve"> </w:t>
      </w:r>
      <w:r>
        <w:rPr>
          <w:i/>
          <w:iCs/>
        </w:rPr>
        <w:t xml:space="preserve">The marriage broaker</w:t>
      </w:r>
      <w:r>
        <w:t xml:space="preserve"> </w:t>
      </w:r>
      <w:r>
        <w:t xml:space="preserve">(Swat), w dialogu z twórczością Edwarda Ravenscrofta i hiperkanonicznego dramatopisarza Moliera – stawiając je na równej stopie jako świadectwa – opieram się dośrodkowej sile kanonu, aby odnaleźć owocne tajne przejścia. Metodologicznie zatem niniejszy artykuł radykalnie zrównuje hierarchie archiwalne, szeroko rozciąga się w kierunkach transnarodowych i mierzy się z bogatymi możliwościami heurystycznymi przekładu i adaptacji literackiej. Takie posunięcia krytyczne, jak twierdzę, mogą znacząco wzbogacić i zróżnicować naszą dziedzinę, która wkracza w obiecującą nową fazę.</w:t>
      </w:r>
    </w:p>
    <w:p>
      <w:pPr>
        <w:pStyle w:val="BodyText"/>
      </w:pPr>
      <w:r>
        <w:t xml:space="preserve">Artykuł najpierw kreśli plastyczną geografię, która porządkowała tradycyjne kojarzenie Romów z Afryką w kulturze wczesnonowożytnej Europy Zachodniej w okresie renesansu, i wskazuje przesunięcie od Egiptu i Afryki Północnej ku Afryce Subsaharyjskiej, jakie dokonało się we francuskim teatrze połowy XVII wieku. Aby zbadać pojęciowe korzenie tego przesunięcia, zwracam się ku farsie Moliera</w:t>
      </w:r>
      <w:r>
        <w:t xml:space="preserve"> </w:t>
      </w:r>
      <w:r>
        <w:rPr>
          <w:i/>
          <w:iCs/>
        </w:rPr>
        <w:t xml:space="preserve">Szelmostwa Skapena</w:t>
      </w:r>
      <w:r>
        <w:t xml:space="preserve"> </w:t>
      </w:r>
      <w:r>
        <w:t xml:space="preserve">(1671), sztuce, która wysuwa na pierwszy plan uwikłanie Romów w perwersyjną ekonomię niewoli i handlu ludźmi i która umieszcza tę ekonomię w Neapolu – wysoce symbolicznej stolicy czarnego niewolnictwa we wczesnonowożytnych Włoszech. Następnie przekraczam kanał La Manche, by odczytać dokonany przez Ravenscrofta w 1677 roku przekład Skapena – Roma uchodzącego za białego – na subsaharyjskiego Arlekina jako ucieleśnione zmierzenie się z pracą łączenia, jaką w sztuce Moliera wykonała lokalizacja neapolitańska. Przeglądając archiwum teatralne późnego okresu karolińskiego, wskazuję, że kojarzenie postaci romskich z subsaharyjskimi nie było w angielskiej kulturze teatralnej niczym nowym; na przykładzie komedii</w:t>
      </w:r>
      <w:r>
        <w:t xml:space="preserve"> </w:t>
      </w:r>
      <w:r>
        <w:rPr>
          <w:i/>
          <w:iCs/>
        </w:rPr>
        <w:t xml:space="preserve">The marriage broaker</w:t>
      </w:r>
      <w:r>
        <w:t xml:space="preserve"> </w:t>
      </w:r>
      <w:r>
        <w:t xml:space="preserve">(1662) pokazuję jednak, że skojarzenie to nabrało w teatrze okresu Restauracji nowych walencji, gdyż zostało wyraźnie nasycone troską o pojęcia niewoli, wywłaszczenia i utowarowienia ciała – zgodnie z duchem czasu. Na koniec wracam do skłonności krytycznych studiów romskich do czerpania zasobów pojęciowych ze studiów nad czarnością i ujmuję wczesnonowożytne archiwum afroromskich przesunięć – wraz z zawartym w nim domyślnym uznaniem międzyrasowej łączności w ekonomii kapitalizmu rasowego – jako etycznie wiążącą genealogię czegoś, co jest czymś znacznie więcej niż naukową modą.</w:t>
      </w:r>
    </w:p>
    <w:p>
      <w:pPr>
        <w:pStyle w:val="Heading1"/>
      </w:pPr>
      <w:r>
        <w:t xml:space="preserve">2. BEZ KOTWICY: ROMSKA AFRYKA W WYOBRAŹNI EUROPEJSKIEJ</w:t>
      </w:r>
    </w:p>
    <w:p>
      <w:pPr>
        <w:pStyle w:val="FirstParagraph"/>
      </w:pPr>
      <w:r>
        <w:t xml:space="preserve">Od swojego pierwszego pojawienia się w Europie Zachodniej na początku XV wieku Romowie – którzy wywodzą się z subkontynentu indyjskiego – byli mylnie uznawani za Afrykanów. W 1596 roku Étienne Pasquier pisał, że romskie kompanie – „które jedni nazywają Egipcjanami, a inni</w:t>
      </w:r>
      <w:r>
        <w:t xml:space="preserve"> </w:t>
      </w:r>
      <w:r>
        <w:rPr>
          <w:i/>
          <w:iCs/>
        </w:rPr>
        <w:t xml:space="preserve">Bohémiens</w:t>
      </w:r>
      <w:r>
        <w:t xml:space="preserve">”</w:t>
      </w:r>
      <w:r>
        <w:rPr>
          <w:rStyle w:val="FootnoteReference"/>
        </w:rPr>
        <w:footnoteReference w:id="25"/>
      </w:r>
      <w:r>
        <w:t xml:space="preserve"> </w:t>
      </w:r>
      <w:r>
        <w:t xml:space="preserve">– utrzymywały, że pochodzą z „basse Egypte” („Dolnego Egiptu”), i przedstawiały się jako chrześcijanie, którzy, przeszedłszy pod przymusem na islam, odbywają pokutę, spełniając nakaz papieża, by przez siedem lat pielgrzymować wśród narodów chrześcijańskich</w:t>
      </w:r>
      <w:r>
        <w:rPr>
          <w:rStyle w:val="FootnoteReference"/>
        </w:rPr>
        <w:footnoteReference w:id="26"/>
      </w:r>
      <w:r>
        <w:t xml:space="preserve">. Ten popularny mit, który początkowo otwierał przed nimi wiele drzwi, z czasem zaczął budzić podejrzenia, Romowie zachowali jednak przez całą epokę wczesnonowożytną egipski demonim – skrócony w angielszczyźnie do</w:t>
      </w:r>
      <w:r>
        <w:t xml:space="preserve"> </w:t>
      </w:r>
      <w:r>
        <w:rPr>
          <w:i/>
          <w:iCs/>
        </w:rPr>
        <w:t xml:space="preserve">Gypsy</w:t>
      </w:r>
      <w:r>
        <w:t xml:space="preserve">. Archiwa utrwalają to kojarzenie wczesnonowożytnych Romów z Egiptem i sąsiednimi krajami. Pierre Davity w</w:t>
      </w:r>
      <w:r>
        <w:t xml:space="preserve"> </w:t>
      </w:r>
      <w:r>
        <w:rPr>
          <w:i/>
          <w:iCs/>
        </w:rPr>
        <w:t xml:space="preserve">Description générale de l’Afrique</w:t>
      </w:r>
      <w:r>
        <w:t xml:space="preserve"> </w:t>
      </w:r>
      <w:r>
        <w:t xml:space="preserve">(Ogólny opis Afryki, 1637) przytacza opinię (której sam nie podziela), że lud romski wywodzi się od „owych Nubijczyków, którzy wypędzeni przez sułtanów Egiptu przeszli w żebraczym odzieniu przez Palestynę, Syrię i Anatolię, a przeprawiwszy się przez Hellespont, rozlali się po Tracji i krajach nad Dunajem”</w:t>
      </w:r>
      <w:r>
        <w:rPr>
          <w:rStyle w:val="FootnoteReference"/>
        </w:rPr>
        <w:footnoteReference w:id="27"/>
      </w:r>
      <w:r>
        <w:t xml:space="preserve">. Jedni sądzili, że Romowie pochodzą z Nubii, na południe od Egiptu, inni umieszczali ich w rozległej geografii muzułmańskiej, rozciągającej się na wschód i na zachód od Egiptu: w</w:t>
      </w:r>
      <w:r>
        <w:t xml:space="preserve"> </w:t>
      </w:r>
      <w:r>
        <w:rPr>
          <w:i/>
          <w:iCs/>
        </w:rPr>
        <w:t xml:space="preserve">La comédie des proverbes</w:t>
      </w:r>
      <w:r>
        <w:t xml:space="preserve"> </w:t>
      </w:r>
      <w:r>
        <w:t xml:space="preserve">(Komedia przysłów, 1654) Adriena de Montluca, gdy białe postaci przebierają się za Romów, wkładając kostiumy i czerniąc twarze</w:t>
      </w:r>
      <w:r>
        <w:rPr>
          <w:rStyle w:val="FootnoteReference"/>
        </w:rPr>
        <w:footnoteReference w:id="28"/>
      </w:r>
      <w:r>
        <w:t xml:space="preserve">, Lydias mówi, że Florinde „uchodzić będzie za mieszczkę znad Nilu albo z Algieru”, na co ona odpowiada, że on uchodzić będzie „za pielgrzyma z Mekki”</w:t>
      </w:r>
      <w:r>
        <w:rPr>
          <w:rStyle w:val="FootnoteReference"/>
        </w:rPr>
        <w:footnoteReference w:id="29"/>
      </w:r>
      <w:r>
        <w:t xml:space="preserve">.</w:t>
      </w:r>
    </w:p>
    <w:p>
      <w:pPr>
        <w:pStyle w:val="BodyText"/>
      </w:pPr>
      <w:r>
        <w:t xml:space="preserve">Pasquier podkreśla ciemną skórę Romów, przytaczając szeroko rozpowszechnioną relację paryskiego mieszczanina z 1427 roku: „mężczyźni byli bardzo czarni, o kędzierzawych włosach, kobiety zaś najbrzydsze, jakie można ujrzeć, i najczarniejsze”</w:t>
      </w:r>
      <w:r>
        <w:rPr>
          <w:rStyle w:val="FootnoteReference"/>
        </w:rPr>
        <w:footnoteReference w:id="30"/>
      </w:r>
      <w:r>
        <w:t xml:space="preserve">. Podobnie w 1520 roku w Kolonii niemiecki historyk Albert Krantz opisuje ich jako „ludzi czarnych, szpetnych, spieczonych słońcem”</w:t>
      </w:r>
      <w:r>
        <w:rPr>
          <w:rStyle w:val="FootnoteReference"/>
        </w:rPr>
        <w:footnoteReference w:id="31"/>
      </w:r>
      <w:r>
        <w:t xml:space="preserve">. Czarność Romów była we francuskiej poezji erotycznej wprost ujmowana jako cecha afrykańska. W sonecie „La belle Egyptienne” (Piękna Egipcjanka, 1631) Georges de Scudéry opisuje wróżącą Romni jako</w:t>
      </w:r>
    </w:p>
    <w:p>
      <w:pPr>
        <w:pStyle w:val="BlockText"/>
      </w:pPr>
      <w:r>
        <w:t xml:space="preserve">Mroczne bóstwo, którego czarny blask</w:t>
      </w:r>
      <w:r>
        <w:br/>
      </w:r>
      <w:r>
        <w:t xml:space="preserve">Płonie ciemnym ogniem, co zdolny wszystko spalić:</w:t>
      </w:r>
      <w:r>
        <w:br/>
      </w:r>
      <w:r>
        <w:t xml:space="preserve">Śnieg nie ma już nic, czym mógłby ci dorównać,</w:t>
      </w:r>
      <w:r>
        <w:br/>
      </w:r>
      <w:r>
        <w:t xml:space="preserve">A heban bierze dziś górę nad kością słoniową.</w:t>
      </w:r>
    </w:p>
    <w:p>
      <w:pPr>
        <w:pStyle w:val="FirstParagraph"/>
      </w:pPr>
      <w:r>
        <w:t xml:space="preserve">Poeta żywi do niej jednoznacznie „afrykańską miłość”</w:t>
      </w:r>
      <w:r>
        <w:rPr>
          <w:rStyle w:val="FootnoteReference"/>
        </w:rPr>
        <w:footnoteReference w:id="32"/>
      </w:r>
      <w:r>
        <w:t xml:space="preserve">. Urbain Chevreau posługuje się tymi samymi toposami w „Madrigaux pour une belle Egyptienne” (Madrygały dla pięknej Egipcjanki) z 1656 roku i osadza je w konkretnej geografii afrykańskiej, skoro ciemnoskóra Romni samym swoim istnieniem „dobitnie dowodzi, że Gracje / Nie są dalekie od Abisyńczyków”</w:t>
      </w:r>
      <w:r>
        <w:rPr>
          <w:rStyle w:val="FootnoteReference"/>
        </w:rPr>
        <w:footnoteReference w:id="33"/>
      </w:r>
      <w:r>
        <w:t xml:space="preserve">.</w:t>
      </w:r>
    </w:p>
    <w:p>
      <w:pPr>
        <w:pStyle w:val="BodyText"/>
      </w:pPr>
      <w:r>
        <w:t xml:space="preserve">Afrykańska cera Romów jest jednak we wczesnonowożytnych archiwach estetycznych czymś wszystkim, tylko nie stałym. W kulturze widowiskowej wspomniana już</w:t>
      </w:r>
      <w:r>
        <w:t xml:space="preserve"> </w:t>
      </w:r>
      <w:r>
        <w:rPr>
          <w:i/>
          <w:iCs/>
        </w:rPr>
        <w:t xml:space="preserve">Comédie des proverbes</w:t>
      </w:r>
      <w:r>
        <w:t xml:space="preserve"> </w:t>
      </w:r>
      <w:r>
        <w:t xml:space="preserve">(1654) przewiduje dla „cygańskiego” przebrania kosmetyczny</w:t>
      </w:r>
      <w:r>
        <w:t xml:space="preserve"> </w:t>
      </w:r>
      <w:r>
        <w:rPr>
          <w:i/>
          <w:iCs/>
        </w:rPr>
        <w:t xml:space="preserve">brownface</w:t>
      </w:r>
      <w:r>
        <w:t xml:space="preserve"> </w:t>
      </w:r>
      <w:r>
        <w:t xml:space="preserve">(</w:t>
      </w:r>
      <w:r>
        <w:rPr>
          <w:i/>
          <w:iCs/>
        </w:rPr>
        <w:t xml:space="preserve">barbouillage</w:t>
      </w:r>
      <w:r>
        <w:t xml:space="preserve">), a w</w:t>
      </w:r>
      <w:r>
        <w:t xml:space="preserve"> </w:t>
      </w:r>
      <w:r>
        <w:rPr>
          <w:i/>
          <w:iCs/>
        </w:rPr>
        <w:t xml:space="preserve">La belle Egyptienne</w:t>
      </w:r>
      <w:r>
        <w:t xml:space="preserve"> </w:t>
      </w:r>
      <w:r>
        <w:t xml:space="preserve">(Piękna Egipcjanka, 1642) – do której zaraz powrócę – Gadjo (nie-Rom) Don Jean słyszy od Romów, że gdy przystanie do ich gromady, ktoś „nauczy go używać egipskiej farby”</w:t>
      </w:r>
      <w:r>
        <w:rPr>
          <w:rStyle w:val="FootnoteReference"/>
        </w:rPr>
        <w:footnoteReference w:id="34"/>
      </w:r>
      <w:r>
        <w:t xml:space="preserve">; jednak rysunki, które projektant kostiumów baletowych Daniel Rabel wykonał w 1631 roku dla wejścia Egipcjan, nie sugerują, by tancerze wcielający się w postaci romskie używali do tego kosmetyków (il. 1). Nie sugeruje tego również historyk wczesnonowożytnego baletu Claude-François Ménestrier</w:t>
      </w:r>
      <w:r>
        <w:rPr>
          <w:rStyle w:val="FootnoteReference"/>
        </w:rPr>
        <w:footnoteReference w:id="35"/>
      </w:r>
      <w:r>
        <w:t xml:space="preserve">. Podobnie kultura wizualna rozpina szerokie spektrum barw cery Romnia. Sięga ono od bladych brunetek (jak w słynnym cyklu akwafort Jacques’a Callota poświęconym</w:t>
      </w:r>
      <w:r>
        <w:t xml:space="preserve"> </w:t>
      </w:r>
      <w:r>
        <w:rPr>
          <w:i/>
          <w:iCs/>
        </w:rPr>
        <w:t xml:space="preserve">Bohémiens</w:t>
      </w:r>
      <w:r>
        <w:t xml:space="preserve"> </w:t>
      </w:r>
      <w:r>
        <w:t xml:space="preserve">z lat 20. XVII wieku i w dobrze znanej</w:t>
      </w:r>
      <w:r>
        <w:t xml:space="preserve"> </w:t>
      </w:r>
      <w:r>
        <w:rPr>
          <w:i/>
          <w:iCs/>
        </w:rPr>
        <w:t xml:space="preserve">Cygance</w:t>
      </w:r>
      <w:r>
        <w:t xml:space="preserve"> </w:t>
      </w:r>
      <w:r>
        <w:t xml:space="preserve">Fransa Halsa z 1628 roku), przez egzotyczne kobiety z niższych warstw, których jasnobrązowa skóra i gładkie czarne włosy kontrastują z bladą skórą i ciemnoblond włosami europejskich mieszczan (jak w</w:t>
      </w:r>
      <w:r>
        <w:t xml:space="preserve"> </w:t>
      </w:r>
      <w:r>
        <w:rPr>
          <w:i/>
          <w:iCs/>
        </w:rPr>
        <w:t xml:space="preserve">Wróżce</w:t>
      </w:r>
      <w:r>
        <w:t xml:space="preserve"> </w:t>
      </w:r>
      <w:r>
        <w:t xml:space="preserve">Bartolomea Manfrediego z lat 1616–1617 [il. 2] i</w:t>
      </w:r>
      <w:r>
        <w:t xml:space="preserve"> </w:t>
      </w:r>
      <w:r>
        <w:rPr>
          <w:i/>
          <w:iCs/>
        </w:rPr>
        <w:t xml:space="preserve">Wróżce</w:t>
      </w:r>
      <w:r>
        <w:t xml:space="preserve"> </w:t>
      </w:r>
      <w:r>
        <w:t xml:space="preserve">Simona Voueta z 1620 roku), po kobiety o ciemnej skórze, których włosy są albo ukryte pod chustą (jak w kilku pracach Nicolasa Régniera z lat 20. XVII wieku), albo skręcone i zaplecione jak włosy kobiet subsaharyjskich (jak w marmurowo-brązowej rzeźbie Nicolasa Cordiera</w:t>
      </w:r>
      <w:r>
        <w:t xml:space="preserve"> </w:t>
      </w:r>
      <w:r>
        <w:rPr>
          <w:i/>
          <w:iCs/>
        </w:rPr>
        <w:t xml:space="preserve">La zingarella</w:t>
      </w:r>
      <w:r>
        <w:t xml:space="preserve"> </w:t>
      </w:r>
      <w:r>
        <w:t xml:space="preserve">[Cyganeczka, 1607–1612]) (il. 3).</w:t>
      </w:r>
    </w:p>
    <w:p>
      <w:pPr>
        <w:pStyle w:val="SROMpodpis"/>
      </w:pPr>
      <w:r>
        <w:t xml:space="preserve">Il. 1. Daniel Rabel,</w:t>
      </w:r>
      <w:r>
        <w:t xml:space="preserve"> </w:t>
      </w:r>
      <w:r>
        <w:rPr>
          <w:i/>
          <w:iCs/>
        </w:rPr>
        <w:t xml:space="preserve">Entrée des Egiptiens et des Egiptiennes</w:t>
      </w:r>
      <w:r>
        <w:t xml:space="preserve">, 1631, rysunek. Bibliothèque nationale de France.</w:t>
      </w:r>
    </w:p>
    <w:p>
      <w:pPr>
        <w:pStyle w:val="BodyText"/>
      </w:pPr>
      <w:r>
        <w:t xml:space="preserve">Taka chromatyczna niestałość współgra z korpusem tekstów prawnych, które coraz wyraźniej odzwierciedlały rozpowszechnione postrzeganie Romów jako białych – jako podrobionych Gadje, którzy świadomie obrali marginalny tryb życia</w:t>
      </w:r>
      <w:r>
        <w:rPr>
          <w:rStyle w:val="FootnoteReference"/>
        </w:rPr>
        <w:footnoteReference w:id="36"/>
      </w:r>
      <w:r>
        <w:t xml:space="preserve">. Podejrzewana białość Romów podlegała przez całą epokę wczesnonowożytną wnikliwej kontroli, a kontrola ta przejawiała się w odnowionym entuzjazmie dla starej idei, że ciemna cera Romów jest sztuczna. Już w 1578 roku flamandzki botanik Rembert Dodoens twierdził, że karbieniec pospolity nazywano „egipskim zielem, ponieważ łotrzy i włóczędzy, którzy zwą się Egipcjanami, barwią się tym zielem na czarno”, a idea ta zdobyła, jak się zdaje, szczególną popularność w XVII-wiecznej kulturze popularnej</w:t>
      </w:r>
      <w:r>
        <w:rPr>
          <w:rStyle w:val="FootnoteReference"/>
        </w:rPr>
        <w:footnoteReference w:id="37"/>
      </w:r>
      <w:r>
        <w:t xml:space="preserve">. W 1617 roku John Minsheu definiował „Cyganów” jako</w:t>
      </w:r>
    </w:p>
    <w:p>
      <w:pPr>
        <w:pStyle w:val="SROMpodpis"/>
      </w:pPr>
      <w:r>
        <w:t xml:space="preserve">Il. 2. Bartolomeo Manfredi,</w:t>
      </w:r>
      <w:r>
        <w:t xml:space="preserve"> </w:t>
      </w:r>
      <w:r>
        <w:rPr>
          <w:i/>
          <w:iCs/>
        </w:rPr>
        <w:t xml:space="preserve">The Fortune Teller</w:t>
      </w:r>
      <w:r>
        <w:t xml:space="preserve"> </w:t>
      </w:r>
      <w:r>
        <w:t xml:space="preserve">[Wróżka], 1616–1617, olej na płótnie. Detroit Institute of Arts, Founders Society Purchase, Acquisitions Fund, 79.30.</w:t>
      </w:r>
    </w:p>
    <w:p>
      <w:pPr>
        <w:pStyle w:val="BlockText"/>
      </w:pPr>
      <w:r>
        <w:t xml:space="preserve">fałszywy rodzaj łotrów, którzy, będąc Anglikami lub Walijczykami, łączą się w gromady, przebierają w dziwaczne szaty, czernią twarze i ciała i układają sobie nieznany język, włóczą się tu i tam, a pod pozorem wróżenia, leczenia chorób i tym podobnych wykorzystują ciemny prosty lud, kradnąc wszystko, co nie jest zbyt gorące ani zbyt ciężkie, by to unieść</w:t>
      </w:r>
      <w:r>
        <w:rPr>
          <w:rStyle w:val="FootnoteReference"/>
        </w:rPr>
        <w:footnoteReference w:id="38"/>
      </w:r>
      <w:r>
        <w:t xml:space="preserve">.</w:t>
      </w:r>
    </w:p>
    <w:p>
      <w:pPr>
        <w:pStyle w:val="FirstParagraph"/>
      </w:pPr>
      <w:r>
        <w:t xml:space="preserve">W opowiadaniu Jeana-Pierre’a Camusa</w:t>
      </w:r>
      <w:r>
        <w:t xml:space="preserve"> </w:t>
      </w:r>
      <w:r>
        <w:rPr>
          <w:i/>
          <w:iCs/>
        </w:rPr>
        <w:t xml:space="preserve">L’innocente Egyptienne</w:t>
      </w:r>
      <w:r>
        <w:t xml:space="preserve"> </w:t>
      </w:r>
      <w:r>
        <w:t xml:space="preserve">(Niewinna Egipcjanka, 1640) umierająca Romni wyznaje pewnej damie – Gadji, której opiece pragnie powierzyć swoją córkę Olive o twarzy oliwkowej barwy: „Niechaj nikogo nie dziwi ta śniada twarz: ten kolor nie jest jej przyrodzony, lecz sztuczny, i choć skwar słońca, na który zwykle jesteśmy wystawione, przyczynia się nieco do psucia naszej cery, jest to jednak niczym w porównaniu z sokiem pewnego ziela, które tak nas przyciemnia, a znamy sekret pewnego ługu, który tę czerń zdejmuje”</w:t>
      </w:r>
      <w:r>
        <w:rPr>
          <w:rStyle w:val="FootnoteReference"/>
        </w:rPr>
        <w:footnoteReference w:id="39"/>
      </w:r>
      <w:r>
        <w:t xml:space="preserve">. W skróconym wydaniu popularnej powieści łotrzykowskiej Richarda Heada</w:t>
      </w:r>
      <w:r>
        <w:t xml:space="preserve"> </w:t>
      </w:r>
      <w:r>
        <w:rPr>
          <w:i/>
          <w:iCs/>
        </w:rPr>
        <w:t xml:space="preserve">The English Rogue</w:t>
      </w:r>
      <w:r>
        <w:t xml:space="preserve"> </w:t>
      </w:r>
      <w:r>
        <w:t xml:space="preserve">(Angielski łotr) z 1679 roku Meriton Latroon, uciekłszy ze szkoły z internatem, by przyłączyć się do gromady „Cyganów”, ma „twarz tak umazaną zielonym orzechem włoskim, że wyglądałem na Cygana nie gorzej niż najlepszy z nich”</w:t>
      </w:r>
      <w:r>
        <w:rPr>
          <w:rStyle w:val="FootnoteReference"/>
        </w:rPr>
        <w:footnoteReference w:id="40"/>
      </w:r>
      <w:r>
        <w:t xml:space="preserve">. Ta sama idea przeniknęła do dyskursu naukowego, na przykład do szeroko czytanego dzieła Thomasa Browne’a</w:t>
      </w:r>
      <w:r>
        <w:t xml:space="preserve"> </w:t>
      </w:r>
      <w:r>
        <w:rPr>
          <w:i/>
          <w:iCs/>
        </w:rPr>
        <w:t xml:space="preserve">Pseudodoxia Epidemica</w:t>
      </w:r>
      <w:r>
        <w:t xml:space="preserve"> </w:t>
      </w:r>
      <w:r>
        <w:t xml:space="preserve">(Pospolite błędy), w którym Browne stwierdza, że jego zdaniem Romowie pochodzą „niedaleko od Niemiec”, a nie z Egiptu, co czyniłoby z nich mieszkańców Europy Zachodniej, którzy „nabywają swojej cery, namaszczając ciała słoniną i tłustymi substancjami i wystawiając je w ten sposób na słońce”</w:t>
      </w:r>
      <w:r>
        <w:rPr>
          <w:rStyle w:val="FootnoteReference"/>
        </w:rPr>
        <w:footnoteReference w:id="41"/>
      </w:r>
      <w:r>
        <w:t xml:space="preserve">. Nazywa ich „sztucznymi Murzynami”</w:t>
      </w:r>
      <w:r>
        <w:rPr>
          <w:rStyle w:val="FootnoteReference"/>
        </w:rPr>
        <w:footnoteReference w:id="42"/>
      </w:r>
      <w:r>
        <w:t xml:space="preserve">.</w:t>
      </w:r>
    </w:p>
    <w:p>
      <w:pPr>
        <w:pStyle w:val="SROMpodpis"/>
      </w:pPr>
      <w:r>
        <w:t xml:space="preserve">Il. 3. Nicolas Cordier,</w:t>
      </w:r>
      <w:r>
        <w:t xml:space="preserve"> </w:t>
      </w:r>
      <w:r>
        <w:rPr>
          <w:i/>
          <w:iCs/>
        </w:rPr>
        <w:t xml:space="preserve">La zingarella</w:t>
      </w:r>
      <w:r>
        <w:t xml:space="preserve"> </w:t>
      </w:r>
      <w:r>
        <w:t xml:space="preserve">[Cyganeczka], 1607–1612, marmur biały i szary, brąz. Za zgodą Galleria Borghese w Rzymie.</w:t>
      </w:r>
    </w:p>
    <w:p>
      <w:pPr>
        <w:pStyle w:val="BodyText"/>
      </w:pPr>
      <w:r>
        <w:t xml:space="preserve">Narastające podejrzenie, że wielu Romów to przebrani Gadje – podejrzenie, które przenikało dyskursy ikonograficzny, prawny, leksykograficzny, fikcjonalny i naukowy – wprawiło romską relację z Afryką w ruch w XVII-wiecznej Europie Zachodniej. Właśnie na tym tle, w tym ruchu, rozgrywa się interesujący mnie rozwój teatralny – a mianowicie narastające kojarzenie postaci romskich z postaciami subsaharyjskimi w logice białej supremacji. Stosowanie na scenie kosmetycznego</w:t>
      </w:r>
      <w:r>
        <w:t xml:space="preserve"> </w:t>
      </w:r>
      <w:r>
        <w:rPr>
          <w:i/>
          <w:iCs/>
        </w:rPr>
        <w:t xml:space="preserve">brownface</w:t>
      </w:r>
      <w:r>
        <w:t xml:space="preserve"> </w:t>
      </w:r>
      <w:r>
        <w:t xml:space="preserve">mogło niekiedy ułatwiać to nowe skojarzenie, nie było jednak konieczne, ponieważ nowy związek między Romami a Afryką nie zależał już od wspólnego pochodzenia uwidaczniającego się na powierzchni ciał, lecz raczej od wspólnego przeznaczenia na mapie białej supremacji – przeznaczenia, jakim było wywłaszczenie i zniewolenie.</w:t>
      </w:r>
    </w:p>
    <w:p>
      <w:pPr>
        <w:pStyle w:val="Heading1"/>
      </w:pPr>
      <w:r>
        <w:t xml:space="preserve">3. WIĘZI W NIEWOLI</w:t>
      </w:r>
    </w:p>
    <w:p>
      <w:pPr>
        <w:pStyle w:val="FirstParagraph"/>
      </w:pPr>
      <w:r>
        <w:t xml:space="preserve">Przeobrażenie więzi między Romami a kontynentem afrykańskim jest wyraźnie wyczuwalne w</w:t>
      </w:r>
      <w:r>
        <w:t xml:space="preserve"> </w:t>
      </w:r>
      <w:r>
        <w:rPr>
          <w:i/>
          <w:iCs/>
        </w:rPr>
        <w:t xml:space="preserve">La belle Egyptienne</w:t>
      </w:r>
      <w:r>
        <w:t xml:space="preserve"> </w:t>
      </w:r>
      <w:r>
        <w:t xml:space="preserve">(1642) Sallebraya, sztuce, która ściśle naśladuje słynną adaptację</w:t>
      </w:r>
      <w:r>
        <w:t xml:space="preserve"> </w:t>
      </w:r>
      <w:r>
        <w:rPr>
          <w:i/>
          <w:iCs/>
        </w:rPr>
        <w:t xml:space="preserve">Cyganiątka</w:t>
      </w:r>
      <w:r>
        <w:t xml:space="preserve"> </w:t>
      </w:r>
      <w:r>
        <w:t xml:space="preserve">(</w:t>
      </w:r>
      <w:r>
        <w:rPr>
          <w:i/>
          <w:iCs/>
        </w:rPr>
        <w:t xml:space="preserve">La gitanilla</w:t>
      </w:r>
      <w:r>
        <w:t xml:space="preserve">), szeroko wpływowej i sensacyjnej noweli Cervantesa, dokonaną dla sceny francuskiej przez Alexandre’a Hardy’ego w latach 20. XVII wieku. Choć sztuka Sallebraya trzyma się dość wiernie wersji Hardy’ego, w jednym ważnym miejscu od niej odchodzi</w:t>
      </w:r>
      <w:r>
        <w:rPr>
          <w:rStyle w:val="FootnoteReference"/>
        </w:rPr>
        <w:footnoteReference w:id="43"/>
      </w:r>
      <w:r>
        <w:t xml:space="preserve">. Gdy na początku sztuki stara Romni, która wychowała Preciosę, przypomina jej dzień, w którym ta po raz pierwszy spotkała Don Jeana, swego przyszłego męża, wspomina „dzień baletu (dzień najszczęśliwszy), / gdy prowadziłaś do tańca Maurów w kajdanach”</w:t>
      </w:r>
      <w:r>
        <w:rPr>
          <w:rStyle w:val="FootnoteReference"/>
        </w:rPr>
        <w:footnoteReference w:id="44"/>
      </w:r>
      <w:r>
        <w:t xml:space="preserve">. Ten krótki wers łatwo mógłby umknąć uwagi, bo obie kobiety natychmiast zmieniają temat i zaczynają rozprawiać o rozmaitych zaletach Don Jeana. A jednak to przywołanie, równie uderzające, jak zwięzłe, domaga się rozwinięcia. We wczesnonowożytnej kulturze hiszpańskiej takie choreograficzne powiązania między Romami a Afrykanami subsaharyjskimi nie były rzadkością. Na przykład w Sewilli procesje Bożego Ciała obejmowały popularne</w:t>
      </w:r>
      <w:r>
        <w:t xml:space="preserve"> </w:t>
      </w:r>
      <w:r>
        <w:rPr>
          <w:i/>
          <w:iCs/>
        </w:rPr>
        <w:t xml:space="preserve">danzas de cascabeles</w:t>
      </w:r>
      <w:r>
        <w:t xml:space="preserve"> </w:t>
      </w:r>
      <w:r>
        <w:t xml:space="preserve">(tańce z dzwoneczkami u nóg), w których występowali często przede wszystkim</w:t>
      </w:r>
      <w:r>
        <w:t xml:space="preserve"> </w:t>
      </w:r>
      <w:r>
        <w:rPr>
          <w:i/>
          <w:iCs/>
        </w:rPr>
        <w:t xml:space="preserve">gitanos</w:t>
      </w:r>
      <w:r>
        <w:t xml:space="preserve"> </w:t>
      </w:r>
      <w:r>
        <w:t xml:space="preserve">(Romowie) i</w:t>
      </w:r>
      <w:r>
        <w:t xml:space="preserve"> </w:t>
      </w:r>
      <w:r>
        <w:rPr>
          <w:i/>
          <w:iCs/>
        </w:rPr>
        <w:t xml:space="preserve">negros</w:t>
      </w:r>
      <w:r>
        <w:t xml:space="preserve"> </w:t>
      </w:r>
      <w:r>
        <w:t xml:space="preserve">(czarni)</w:t>
      </w:r>
      <w:r>
        <w:rPr>
          <w:rStyle w:val="FootnoteReference"/>
        </w:rPr>
        <w:footnoteReference w:id="45"/>
      </w:r>
      <w:r>
        <w:t xml:space="preserve">, a wysunięto też przypuszczenie, że wczesnonowożytne flamenco mogło się ukształtować dzięki bogatemu wzajemnemu przenikaniu się społeczności czarnych i romskich we wczesnonowożytnej Andaluzji</w:t>
      </w:r>
      <w:r>
        <w:rPr>
          <w:rStyle w:val="FootnoteReference"/>
        </w:rPr>
        <w:footnoteReference w:id="46"/>
      </w:r>
      <w:r>
        <w:t xml:space="preserve">.</w:t>
      </w:r>
    </w:p>
    <w:p>
      <w:pPr>
        <w:pStyle w:val="BodyText"/>
      </w:pPr>
      <w:r>
        <w:t xml:space="preserve">W Anglii, jak pokazuję gdzie indziej, animalizujący dyskurs choreograficznych</w:t>
      </w:r>
      <w:r>
        <w:t xml:space="preserve"> </w:t>
      </w:r>
      <w:r>
        <w:rPr>
          <w:i/>
          <w:iCs/>
        </w:rPr>
        <w:t xml:space="preserve">antics</w:t>
      </w:r>
      <w:r>
        <w:t xml:space="preserve"> </w:t>
      </w:r>
      <w:r>
        <w:t xml:space="preserve">(błazeńskich pląsów), po raz pierwszy zastosowany wobec postaci romskich w połowie lat 10. XVII wieku jako potężne narzędzie urasawiania, został w późnym teatrze jakubowym i karolińskim przekierowany na Murzynów</w:t>
      </w:r>
      <w:r>
        <w:rPr>
          <w:rStyle w:val="FootnoteReference"/>
        </w:rPr>
        <w:footnoteReference w:id="47"/>
      </w:r>
      <w:r>
        <w:t xml:space="preserve">. Winieta Sallebraya czerpie zatem z sieci kinetycznych skojarzeń, zarówno rzeczywistych, jak i wyobrażonych, między tymi dwiema urasowionymi społecznościami. To tło historyczne skłania mnie do odczytywania wizualnego zestawienia romskiej tancerki i jej czarnej świty jako łączącego, a nie kontrastującego. Szczegół kajdan czarnych tancerzy zwraca uwagę na ich status zniewolonych i tym samym stawia kinetyczne powiązanie afroromskie pod znakiem zniewolenia i wspólnego pragnienia ruchu – rzeczywistego i symbolicznego – które zniewoleniu towarzyszy.</w:t>
      </w:r>
    </w:p>
    <w:p>
      <w:pPr>
        <w:pStyle w:val="BodyText"/>
      </w:pPr>
      <w:r>
        <w:t xml:space="preserve">Motyw romskiego zniewolenia zostaje uderzająco podjęty w mało znanej tragikomedii Le Sieura Vallée</w:t>
      </w:r>
      <w:r>
        <w:t xml:space="preserve"> </w:t>
      </w:r>
      <w:r>
        <w:rPr>
          <w:i/>
          <w:iCs/>
        </w:rPr>
        <w:t xml:space="preserve">Le fidelle esclave</w:t>
      </w:r>
      <w:r>
        <w:t xml:space="preserve"> </w:t>
      </w:r>
      <w:r>
        <w:t xml:space="preserve">(1662). W sztuce tej Hécate, biały książę Numidii (starożytnego królestwa rozciągającego się na terytorium dzisiejszej Algierii, Tunezji i Libii), o mało nie rozbiwszy się u wybrzeży Krety, widzi, jak jego okręt zostaje przejęty przez wrogów, którzy go zniewalają: staje się własnością Boristhène’a, księcia Cypru. Aby ocalić chwałę korony numidyjskiej, Hécate robi wszystko, co w jego mocy, by ukryć swoją królewską tożsamość. Stosuje</w:t>
      </w:r>
      <w:r>
        <w:t xml:space="preserve"> </w:t>
      </w:r>
      <w:r>
        <w:rPr>
          <w:i/>
          <w:iCs/>
        </w:rPr>
        <w:t xml:space="preserve">black-up</w:t>
      </w:r>
      <w:r>
        <w:t xml:space="preserve">, udaje Egipcjanina i pod fałszywym imieniem Atramante’a rozpuszcza pogłoskę o własnej śmierci, pozwalając światu wierzyć, że książę Numidii wolał zginąć na morzu niż znieść hańbę zniewolenia. Choć geografia przywoływana w sztuce to geografia starożytnego świata śródziemnomorskiego, egipskie przebranie, które przywdziewa Hécate, jest wyraźnie przebraniem wczesnonowożytnego Roma. Kosmetyki, którymi „czerni sobie twarz i ręce” (lecz nie ramiona – szczegół, który w końcu go zdradza), współgrają bowiem ze znaczeniem wybranego przez niego imienia:</w:t>
      </w:r>
      <w:r>
        <w:t xml:space="preserve"> </w:t>
      </w:r>
      <w:r>
        <w:rPr>
          <w:i/>
          <w:iCs/>
        </w:rPr>
        <w:t xml:space="preserve">Atra-mante</w:t>
      </w:r>
      <w:r>
        <w:t xml:space="preserve"> </w:t>
      </w:r>
      <w:r>
        <w:t xml:space="preserve">to dosłownie Czarny Wróżbita</w:t>
      </w:r>
      <w:r>
        <w:rPr>
          <w:rStyle w:val="FootnoteReference"/>
        </w:rPr>
        <w:footnoteReference w:id="48"/>
      </w:r>
      <w:r>
        <w:t xml:space="preserve">. Jak zauważa Georges Forestier, chwilowa, lecz silna niechęć, jaką okazuje Hécate, gdy jego dawna ukochana, infantka, rozpoznaje go i nakłania do odzyskania prawdziwej tożsamości, wynika nie tylko ze wstydu, lecz z alienacji: Vallée „starał się stworzyć oryginalną sytuację psychologiczną – bohatera, który sam siebie przekonał, że umarł jako książę i stał się niewolnikiem Atramante’em”</w:t>
      </w:r>
      <w:r>
        <w:rPr>
          <w:rStyle w:val="FootnoteReference"/>
        </w:rPr>
        <w:footnoteReference w:id="49"/>
      </w:r>
      <w:r>
        <w:t xml:space="preserve">. Hécate w niesamowity sposób urzeczywistnia słynną teoretyzację niewolnictwa jako „śmierci społecznej” autorstwa Orlanda Pattersona</w:t>
      </w:r>
      <w:r>
        <w:rPr>
          <w:rStyle w:val="FootnoteReference"/>
        </w:rPr>
        <w:footnoteReference w:id="50"/>
      </w:r>
      <w:r>
        <w:t xml:space="preserve">. Nawet gdy infantka uzyskuje od Boristhène’a wolność Atramante’a, a jego królewska tożsamość wychodzi na jaw, Hécate, pojawiając się na scenie „odczerniony” („dénoircy”) i w książęcym stroju, pozostaje osobliwie przywiązany – jak sugeruje tytuł sztuki – do idei własnego zniewolenia. Zawsze będzie „za tytuł do chwały poczytywał / to, że [Boristhène] jest mym panem i władcą”, bo „kto cierpi niewolę, winien poddać się jej prawom”</w:t>
      </w:r>
      <w:r>
        <w:rPr>
          <w:rStyle w:val="FootnoteReference"/>
        </w:rPr>
        <w:footnoteReference w:id="51"/>
      </w:r>
      <w:r>
        <w:t xml:space="preserve">. Wewnętrzne zmagania Hécate’a z własnym zniewoleniem napędzają przenikliwą refleksję sztuki nad rozpadem psychicznym, jaki zniewolenie może zadać zniewolonemu – przedstawionemu tu jednoznacznie jako ciemnoskóry Rom.</w:t>
      </w:r>
    </w:p>
    <w:p>
      <w:pPr>
        <w:pStyle w:val="BodyText"/>
      </w:pPr>
      <w:r>
        <w:t xml:space="preserve">Ostatecznie zapoczątkowane przez Sallebraya w 1642 roku powiązanie Romów i Afrykanów subsaharyjskich we wspólnej ekonomii zniewolenia i świadomego oporu wobec niego znalazło w kanonie francuskiego dramatu klasycystycznego wyraźny, choć dyskretny wyraz w twórczości Moliera. W intermedium między aktem pierwszym a drugim</w:t>
      </w:r>
      <w:r>
        <w:t xml:space="preserve"> </w:t>
      </w:r>
      <w:r>
        <w:rPr>
          <w:i/>
          <w:iCs/>
        </w:rPr>
        <w:t xml:space="preserve">Chorego z urojenia</w:t>
      </w:r>
      <w:r>
        <w:t xml:space="preserve"> </w:t>
      </w:r>
      <w:r>
        <w:t xml:space="preserve">(</w:t>
      </w:r>
      <w:r>
        <w:rPr>
          <w:i/>
          <w:iCs/>
        </w:rPr>
        <w:t xml:space="preserve">Le malade imaginaire</w:t>
      </w:r>
      <w:r>
        <w:t xml:space="preserve">, 1673) „brat chorego z urojenia, pragnąc go rozerwać, przyprowadza mu kilku Egipcjan i Egipcjanek przebranych za Maurów, którzy wykonują tańce przeplatane śpiewami. […] Wszyscy Maurowie tańczą razem i każą skakać małpom, które przyprowadzili ze sobą”</w:t>
      </w:r>
      <w:r>
        <w:rPr>
          <w:rStyle w:val="FootnoteReference"/>
        </w:rPr>
        <w:footnoteReference w:id="52"/>
      </w:r>
      <w:r>
        <w:t xml:space="preserve">.</w:t>
      </w:r>
      <w:r>
        <w:t xml:space="preserve"> </w:t>
      </w:r>
      <w:commentRangeStart w:id="1"/>
      <w:commentRangeEnd w:id="1"/>
      <w:r>
        <w:rPr>
          <w:rStyle w:val="CommentReference"/>
        </w:rPr>
        <w:commentReference w:id="1"/>
      </w:r>
      <w:r>
        <w:t xml:space="preserve"> </w:t>
      </w:r>
      <w:r>
        <w:t xml:space="preserve">Do tego intermedium obsadzono romskich wykonawców w roli „Maurów” („Mores”) – którzy, jak dowodziłam gdzie indziej, byli we wczesnonowożytnej francuskiej kulturze baletowej ciemnoskórymi postaciami subsaharyjskimi</w:t>
      </w:r>
      <w:r>
        <w:rPr>
          <w:rStyle w:val="FootnoteReference"/>
        </w:rPr>
        <w:footnoteReference w:id="53"/>
      </w:r>
      <w:r>
        <w:t xml:space="preserve">. I tu skojarzenie obu urasowionych grup dokonuje się poprzez taniec. Taniec ten nie jest niewinny: obejmując kinetyczną interakcję ludzi i małp, wpisuje się w transnarodową tradycję choreograficzną, szczególnie popularną we francuskich barokowych baletach dworskich od lat 20. XVII wieku – tradycję, która podważała granicę między zwierzętami a Afrykanami subsaharyjskimi, domyślnie wykluczając owych Afrykanów z własności i posiadania samych siebie, gdyż degradowała ich w wielkim łańcuchu bytu z poziomu człowieka i włączała do królestwa zwierząt</w:t>
      </w:r>
      <w:r>
        <w:rPr>
          <w:rStyle w:val="FootnoteReference"/>
        </w:rPr>
        <w:footnoteReference w:id="54"/>
      </w:r>
      <w:r>
        <w:t xml:space="preserve">. Trop animalizacji łączy romskich wykonawców i postaci subsaharyjskie pod znakiem zniewolenia. To przesunięcie w</w:t>
      </w:r>
      <w:r>
        <w:t xml:space="preserve"> </w:t>
      </w:r>
      <w:r>
        <w:rPr>
          <w:i/>
          <w:iCs/>
        </w:rPr>
        <w:t xml:space="preserve">Chorym z urojenia</w:t>
      </w:r>
      <w:r>
        <w:t xml:space="preserve"> </w:t>
      </w:r>
      <w:r>
        <w:t xml:space="preserve">pozwala nam dostrzec coś, co do dziś pozostawało niewidoczne: Molierowską eksplorację romskiej kondycji w ekonomii wczesnonowożytnej niewoli w</w:t>
      </w:r>
      <w:r>
        <w:t xml:space="preserve"> </w:t>
      </w:r>
      <w:r>
        <w:rPr>
          <w:i/>
          <w:iCs/>
        </w:rPr>
        <w:t xml:space="preserve">Szelmostwach Skapena</w:t>
      </w:r>
      <w:r>
        <w:t xml:space="preserve">.</w:t>
      </w:r>
    </w:p>
    <w:p>
      <w:pPr>
        <w:pStyle w:val="Heading1"/>
      </w:pPr>
      <w:r>
        <w:t xml:space="preserve">4. FIKCJE UCHODZENIA ZA BIAŁYCH W</w:t>
      </w:r>
      <w:r>
        <w:t xml:space="preserve"> </w:t>
      </w:r>
      <w:r>
        <w:rPr>
          <w:i/>
          <w:iCs/>
        </w:rPr>
        <w:t xml:space="preserve">SZELMOSTWACH SKAPENA</w:t>
      </w:r>
    </w:p>
    <w:p>
      <w:pPr>
        <w:pStyle w:val="FirstParagraph"/>
      </w:pPr>
      <w:r>
        <w:t xml:space="preserve">Molier umieścił sceny „cygańskie” w wielu swoich wcześniejszych sztukach. W</w:t>
      </w:r>
      <w:r>
        <w:t xml:space="preserve"> </w:t>
      </w:r>
      <w:r>
        <w:rPr>
          <w:i/>
          <w:iCs/>
        </w:rPr>
        <w:t xml:space="preserve">Panu de Pourceaugnac</w:t>
      </w:r>
      <w:r>
        <w:t xml:space="preserve"> </w:t>
      </w:r>
      <w:r>
        <w:t xml:space="preserve">(</w:t>
      </w:r>
      <w:r>
        <w:rPr>
          <w:i/>
          <w:iCs/>
        </w:rPr>
        <w:t xml:space="preserve">Monsieur de Pourceaugnac</w:t>
      </w:r>
      <w:r>
        <w:t xml:space="preserve">, 1669) maskarada ukazuje Egipcjanina i Egipcjankę zalecających się do siebie; w</w:t>
      </w:r>
      <w:r>
        <w:t xml:space="preserve"> </w:t>
      </w:r>
      <w:r>
        <w:rPr>
          <w:i/>
          <w:iCs/>
        </w:rPr>
        <w:t xml:space="preserve">La pastorale comique</w:t>
      </w:r>
      <w:r>
        <w:t xml:space="preserve"> </w:t>
      </w:r>
      <w:r>
        <w:t xml:space="preserve">(Sielanka komiczna, 1666) Egipcjanka śpiewa i tańczy przy dźwiękach gitary, kastanietów i nakarów (kotłów pochodzenia bliskowschodniego), a w</w:t>
      </w:r>
      <w:r>
        <w:t xml:space="preserve"> </w:t>
      </w:r>
      <w:r>
        <w:rPr>
          <w:i/>
          <w:iCs/>
        </w:rPr>
        <w:t xml:space="preserve">Małżeństwie z musu</w:t>
      </w:r>
      <w:r>
        <w:t xml:space="preserve"> </w:t>
      </w:r>
      <w:r>
        <w:t xml:space="preserve">(</w:t>
      </w:r>
      <w:r>
        <w:rPr>
          <w:i/>
          <w:iCs/>
        </w:rPr>
        <w:t xml:space="preserve">Le mariage forcé</w:t>
      </w:r>
      <w:r>
        <w:t xml:space="preserve">, 1664) dwie Egipcjanki, nazwane w spisie osób</w:t>
      </w:r>
      <w:r>
        <w:t xml:space="preserve"> </w:t>
      </w:r>
      <w:r>
        <w:rPr>
          <w:i/>
          <w:iCs/>
        </w:rPr>
        <w:t xml:space="preserve">Bohémiennes</w:t>
      </w:r>
      <w:r>
        <w:t xml:space="preserve">, tańczą i śpiewają przy dźwiękach bębenka baskijskiego i dręczą Sganarela, przepowiadając mu, że zostanie rogaczem</w:t>
      </w:r>
      <w:r>
        <w:rPr>
          <w:rStyle w:val="FootnoteReference"/>
        </w:rPr>
        <w:footnoteReference w:id="55"/>
      </w:r>
      <w:r>
        <w:t xml:space="preserve">. Sceny te pełnią funkcję czysto ornamentalną i pod względem dramaturgii oraz technik wykonawczych podążają za estetyką barokowych baletów dworskich (te postaci romskie grano zapewne bez</w:t>
      </w:r>
      <w:r>
        <w:t xml:space="preserve"> </w:t>
      </w:r>
      <w:r>
        <w:rPr>
          <w:i/>
          <w:iCs/>
        </w:rPr>
        <w:t xml:space="preserve">brownface</w:t>
      </w:r>
      <w:r>
        <w:t xml:space="preserve">). Stanowią one jednak poligon doświadczalny, z którego kilka lat później wyrosną</w:t>
      </w:r>
      <w:r>
        <w:t xml:space="preserve"> </w:t>
      </w:r>
      <w:r>
        <w:rPr>
          <w:i/>
          <w:iCs/>
        </w:rPr>
        <w:t xml:space="preserve">Szelmostwa Skapena</w:t>
      </w:r>
      <w:r>
        <w:t xml:space="preserve">.</w:t>
      </w:r>
    </w:p>
    <w:p>
      <w:pPr>
        <w:pStyle w:val="BodyText"/>
      </w:pPr>
      <w:r>
        <w:t xml:space="preserve">Tu również, w zmianach, jakie wczesnonowożytny dramatopisarz wprowadził do własnych tekstów źródłowych, uwidacznia się to, jak sztuka odzwierciedla łączność formacji w obrębie matrycy rasowej i jak ją namyśla. Tymi tekstami źródłowymi są</w:t>
      </w:r>
      <w:r>
        <w:t xml:space="preserve"> </w:t>
      </w:r>
      <w:r>
        <w:rPr>
          <w:i/>
          <w:iCs/>
        </w:rPr>
        <w:t xml:space="preserve">Formion</w:t>
      </w:r>
      <w:r>
        <w:t xml:space="preserve"> </w:t>
      </w:r>
      <w:r>
        <w:t xml:space="preserve">(</w:t>
      </w:r>
      <w:r>
        <w:rPr>
          <w:i/>
          <w:iCs/>
        </w:rPr>
        <w:t xml:space="preserve">Phormio</w:t>
      </w:r>
      <w:r>
        <w:t xml:space="preserve">, 161 p.n.e.) Terencjusza oraz wspomniane już</w:t>
      </w:r>
      <w:r>
        <w:t xml:space="preserve"> </w:t>
      </w:r>
      <w:r>
        <w:rPr>
          <w:i/>
          <w:iCs/>
        </w:rPr>
        <w:t xml:space="preserve">Cyganiątko</w:t>
      </w:r>
      <w:r>
        <w:t xml:space="preserve"> </w:t>
      </w:r>
      <w:r>
        <w:t xml:space="preserve">Cervantesa, które Molier zaadaptował już mniej więcej dwadzieścia lat wcześniej w jednej ze swoich najwcześniejszych sztuk,</w:t>
      </w:r>
      <w:r>
        <w:t xml:space="preserve"> </w:t>
      </w:r>
      <w:r>
        <w:rPr>
          <w:i/>
          <w:iCs/>
        </w:rPr>
        <w:t xml:space="preserve">Wartogłowie</w:t>
      </w:r>
      <w:r>
        <w:t xml:space="preserve"> </w:t>
      </w:r>
      <w:r>
        <w:t xml:space="preserve">(</w:t>
      </w:r>
      <w:r>
        <w:rPr>
          <w:i/>
          <w:iCs/>
        </w:rPr>
        <w:t xml:space="preserve">L’étourdi</w:t>
      </w:r>
      <w:r>
        <w:t xml:space="preserve">, 1655)</w:t>
      </w:r>
      <w:r>
        <w:rPr>
          <w:rStyle w:val="FootnoteReference"/>
        </w:rPr>
        <w:footnoteReference w:id="56"/>
      </w:r>
      <w:r>
        <w:t xml:space="preserve">. Fabuła</w:t>
      </w:r>
      <w:r>
        <w:t xml:space="preserve"> </w:t>
      </w:r>
      <w:r>
        <w:rPr>
          <w:i/>
          <w:iCs/>
        </w:rPr>
        <w:t xml:space="preserve">Skapena</w:t>
      </w:r>
      <w:r>
        <w:t xml:space="preserve"> </w:t>
      </w:r>
      <w:r>
        <w:t xml:space="preserve">przedstawia się następująco: Leander (Léandre) kocha Zerbinetę (Zerbinette). „Les Egyptiens” – romski klan, do którego ona należy – grożą, że ją uprowadzą, a ojciec Leandra,</w:t>
      </w:r>
      <w:r>
        <w:t xml:space="preserve"> </w:t>
      </w:r>
      <w:r>
        <w:rPr>
          <w:i/>
          <w:iCs/>
        </w:rPr>
        <w:t xml:space="preserve">senex</w:t>
      </w:r>
      <w:r>
        <w:t xml:space="preserve"> </w:t>
      </w:r>
      <w:r>
        <w:t xml:space="preserve">Geront (Géronte), nie chce mu dać pieniędzy potrzebnych na jej wykupienie. Aby pomóc Leandrowi zdobyć te pieniądze, jego sługa, przebiegły Skapen, wmawia Gerontowi, że jego syn jest przetrzymywany jako zakładnik na tureckiej galerze: Turcy zawiozą go do Algieru i sprzedadzą tam w niewolę, jeśli Geront nie zapłaci okupu – co ten niechętnie czyni. Pod koniec sztuki dowiadujemy się, że Zerbineta jest w istocie córką – Gadji – innego</w:t>
      </w:r>
      <w:r>
        <w:t xml:space="preserve"> </w:t>
      </w:r>
      <w:r>
        <w:rPr>
          <w:i/>
          <w:iCs/>
        </w:rPr>
        <w:t xml:space="preserve">senexa</w:t>
      </w:r>
      <w:r>
        <w:t xml:space="preserve">, Arganta (Argante): w wieku czterech lat została porwana i znalazła się wśród „bandy Cyganów, z tych, co to wałęsając się od miasta do miasta, zarabiają na życie wróżeniem, a nieraz i innymi sposobami”</w:t>
      </w:r>
      <w:r>
        <w:rPr>
          <w:rStyle w:val="FootnoteReference"/>
        </w:rPr>
        <w:footnoteReference w:id="57"/>
      </w:r>
      <w:r>
        <w:rPr>
          <w:rStyle w:val="FootnoteReference"/>
        </w:rPr>
        <w:footnoteReference w:id="58"/>
      </w:r>
      <w:r>
        <w:t xml:space="preserve">. Los, jak się zdaje, sprowadził ją z powrotem do rodzinnego miasta, gdzie może zostać rozpoznana: podobnie jak rzekoma babka Preciosy w noweli Cervantesa, stara Romni u Moliera wyjawia pochodzenie Zerbinety i daje jej bransoletę, którą ta nosiła w chwili porwania – przedmiot, dzięki któremu biologiczny ojciec może ją rozpoznać i odzyskać</w:t>
      </w:r>
      <w:r>
        <w:rPr>
          <w:rStyle w:val="FootnoteReference"/>
        </w:rPr>
        <w:footnoteReference w:id="59"/>
      </w:r>
      <w:r>
        <w:t xml:space="preserve">.</w:t>
      </w:r>
    </w:p>
    <w:p>
      <w:pPr>
        <w:pStyle w:val="BodyText"/>
      </w:pPr>
      <w:r>
        <w:t xml:space="preserve">W odejściach tej fabuły od jej tekstów źródłowych kryją się sugestie, że sam Skapen mógł zostać pomyślany jako postać romska. Jak się przekonamy, Skapen jawi się jako postać obeznana z transnarodowym romskim folklorem, skłonna do wchodzenia w układy z Romami, strukturalnie połączona z nimi podziemnymi korzeniami onomastycznymi, a zatem jako ktoś, kogo francuski wymiar sprawiedliwości (źle) potraktowałby jak Roma i zesłał na galery – co zresztą już uczynił. Skapen, w odróżnieniu od pierwowzoru Terencjusza, ma bowiem napięty stosunek do wymiaru sprawiedliwości. Spędził trzy lata na królewskich galerach za przestępstwa, których sztuka nigdy nie ujawnia, choć Sylwester raz po raz napomyka o prawnych tarapatach Skapena. Wiemy jedynie, że miał w przeszłości z sądem „małe nieporozumienie”, a sąd „bardzo się brzydko obszedł” z nim</w:t>
      </w:r>
      <w:r>
        <w:rPr>
          <w:rStyle w:val="FootnoteReference"/>
        </w:rPr>
        <w:footnoteReference w:id="60"/>
      </w:r>
      <w:r>
        <w:t xml:space="preserve">, jednak, jak sam mówi, „trzy lata galer mniej czy więcej, cóż to jest dla człowieka z sercem i honorem?”</w:t>
      </w:r>
      <w:r>
        <w:rPr>
          <w:rStyle w:val="FootnoteReference"/>
        </w:rPr>
        <w:footnoteReference w:id="61"/>
      </w:r>
      <w:r>
        <w:t xml:space="preserve">. Zjadliwe potępienie przez Skapena korupcji neapolitańskiego (czytaj: francuskiego) wymiaru sprawiedliwości – słynne z tego, że obnaża stronniczość, sprzedajność i nieskuteczność wszystkich jego trybów i przedstawicieli – wypowiedziane jest z doświadczenia i z perspektywy dołów</w:t>
      </w:r>
      <w:r>
        <w:rPr>
          <w:rStyle w:val="FootnoteReference"/>
        </w:rPr>
        <w:footnoteReference w:id="62"/>
      </w:r>
      <w:r>
        <w:t xml:space="preserve">. Niechęć Skapena do wymiaru sprawiedliwości w dramatyczny sposób odwraca skrypt, który Molier odziedziczył po swym głównym tekście źródłowym,</w:t>
      </w:r>
      <w:r>
        <w:t xml:space="preserve"> </w:t>
      </w:r>
      <w:r>
        <w:rPr>
          <w:i/>
          <w:iCs/>
        </w:rPr>
        <w:t xml:space="preserve">Formionie</w:t>
      </w:r>
      <w:r>
        <w:t xml:space="preserve"> </w:t>
      </w:r>
      <w:r>
        <w:t xml:space="preserve">Terencjusza. Choć bowiem Molier poza tym trzyma się blisko fabuły sztuki Terencjusza, archetypowego pasożyta, który służy swoim patronom, pozywając ich wrogów przed sąd (tytuł greckiej sztuki Apollodora, którą przerobił sam Terencjusz, brzmi</w:t>
      </w:r>
      <w:r>
        <w:t xml:space="preserve"> </w:t>
      </w:r>
      <w:r>
        <w:rPr>
          <w:i/>
          <w:iCs/>
        </w:rPr>
        <w:t xml:space="preserve">Powód</w:t>
      </w:r>
      <w:r>
        <w:t xml:space="preserve"> </w:t>
      </w:r>
      <w:r>
        <w:t xml:space="preserve">– czyli: ekspert w manipulowaniu prawem), przekształcił w samozwańczą ofiarę i wroga prawa</w:t>
      </w:r>
      <w:r>
        <w:rPr>
          <w:rStyle w:val="FootnoteReference"/>
        </w:rPr>
        <w:footnoteReference w:id="63"/>
      </w:r>
      <w:r>
        <w:t xml:space="preserve">.</w:t>
      </w:r>
    </w:p>
    <w:p>
      <w:pPr>
        <w:pStyle w:val="BodyText"/>
      </w:pPr>
      <w:r>
        <w:t xml:space="preserve">Ta zmiana idzie w parze z gotowością Skapena do działania w zmowie z romską gromadą w celu zebrania okupu – czynem, który w owym czasie wystarczał, by jego sprawcę potraktować w świetle prawa jak Roma. Choć sztuka nie wspomina o żadnej materialnej nagrodzie za trud Skapena, trudno nie zadać sobie pytania, co mogłoby skłonić postać wzorowaną na starożytnym pasożycie i na</w:t>
      </w:r>
      <w:r>
        <w:t xml:space="preserve"> </w:t>
      </w:r>
      <w:r>
        <w:rPr>
          <w:i/>
          <w:iCs/>
        </w:rPr>
        <w:t xml:space="preserve">zannim</w:t>
      </w:r>
      <w:r>
        <w:t xml:space="preserve"> </w:t>
      </w:r>
      <w:r>
        <w:t xml:space="preserve">z commedii dell’arte – postać, która nieraz dowiodła swej chciwości i ograniczonej lojalności wobec swego pana Leandra – do jakiegokolwiek udziału w rodzinnych sprawach Geronta</w:t>
      </w:r>
      <w:r>
        <w:rPr>
          <w:rStyle w:val="FootnoteReference"/>
        </w:rPr>
        <w:footnoteReference w:id="64"/>
      </w:r>
      <w:r>
        <w:t xml:space="preserve">. Czy nie jest możliwe, że Skapen w zmowie z romską gromadą uknuł wokół Zerbinety bajkę – czy raczej zapożyczył ją od Cervantesa – by wyłudzić pieniądze od łatwowiernej rodziny? Wszak Leander poznał Zerbinetę zaraz po tym, jak ojciec oddał go pod nadzór Skapena, a o szantażu romskiej gromady po raz pierwszy usłyszał od Karla, oszusta (</w:t>
      </w:r>
      <w:r>
        <w:rPr>
          <w:i/>
          <w:iCs/>
        </w:rPr>
        <w:t xml:space="preserve">fourbe</w:t>
      </w:r>
      <w:r>
        <w:t xml:space="preserve">), który według spisu osób zawsze idzie za przykładem Skapena.</w:t>
      </w:r>
    </w:p>
    <w:p>
      <w:pPr>
        <w:pStyle w:val="BodyText"/>
      </w:pPr>
      <w:r>
        <w:t xml:space="preserve">Co więcej, historia imienia samej Zerbinety w tradycji commedii dell’arte – która, jak wiadomo, tak głęboko wpłynęła na dramaturgię Moliera – sugeruje, że jest ona strukturalnie powiązana ze Skapenem. Jej imię utworzono bowiem od imienia</w:t>
      </w:r>
      <w:r>
        <w:t xml:space="preserve"> </w:t>
      </w:r>
      <w:r>
        <w:rPr>
          <w:i/>
          <w:iCs/>
        </w:rPr>
        <w:t xml:space="preserve">capitaine</w:t>
      </w:r>
      <w:r>
        <w:t xml:space="preserve"> </w:t>
      </w:r>
      <w:r>
        <w:t xml:space="preserve">Zerbina, którego Jacques Callot przedstawił w rozmowie ze Scapinem na jednej z akwafort cyklu</w:t>
      </w:r>
      <w:r>
        <w:t xml:space="preserve"> </w:t>
      </w:r>
      <w:r>
        <w:rPr>
          <w:i/>
          <w:iCs/>
        </w:rPr>
        <w:t xml:space="preserve">Balli di Sfessania</w:t>
      </w:r>
      <w:r>
        <w:t xml:space="preserve"> </w:t>
      </w:r>
      <w:r>
        <w:t xml:space="preserve">(Tańce ze Sfessanii) z 1622 roku, kluczowego źródła pierwotnego dla badaczy commedii dell’arte. Co więcej, Zerbineta jest postacią typu Kolombiny, a Kolombina, jako służąca i ukochana Arlekina, jest w przedstawieniach tradycyjnie łączona w parę z</w:t>
      </w:r>
      <w:r>
        <w:t xml:space="preserve"> </w:t>
      </w:r>
      <w:r>
        <w:rPr>
          <w:i/>
          <w:iCs/>
        </w:rPr>
        <w:t xml:space="preserve">zanni</w:t>
      </w:r>
      <w:r>
        <w:t xml:space="preserve">, takimi jak Skapen, nie zaś z panami, takimi jak Leander. W jeszcze większym stopniu dotyczyło to typów</w:t>
      </w:r>
      <w:r>
        <w:t xml:space="preserve"> </w:t>
      </w:r>
      <w:r>
        <w:rPr>
          <w:i/>
          <w:iCs/>
        </w:rPr>
        <w:t xml:space="preserve">zingana</w:t>
      </w:r>
      <w:r>
        <w:t xml:space="preserve">, romskich postaci stałych, które, jak wykazała M. A. Katritzky, często kojarzono z</w:t>
      </w:r>
      <w:r>
        <w:t xml:space="preserve"> </w:t>
      </w:r>
      <w:r>
        <w:rPr>
          <w:i/>
          <w:iCs/>
        </w:rPr>
        <w:t xml:space="preserve">zanni</w:t>
      </w:r>
      <w:r>
        <w:t xml:space="preserve"> </w:t>
      </w:r>
      <w:r>
        <w:t xml:space="preserve">zarówno na scenie, jak i w wyobraźni kulturowej włoskich Gadje w ogóle, ze względu na rzekomo wspólną im przewrotność</w:t>
      </w:r>
      <w:r>
        <w:rPr>
          <w:rStyle w:val="FootnoteReference"/>
        </w:rPr>
        <w:footnoteReference w:id="65"/>
      </w:r>
      <w:r>
        <w:t xml:space="preserve">. To rozpowszechnione, zmyślone skojarzenie czyni ze Skapena i Zerbinety wspólników, a tym samym pomaga zrozumieć, dlaczego sprawę potencjalnego urodzenia Zerbinety jako Gadji rozstrzygają dowody, które każdemu widzowi obeznanemu z oryginalną nowelą Cervantesa wydałyby się co najwyżej wątłe. W wersji Moliera ciężar dowodu zostaje udźwignięty niemal zbyt łatwo</w:t>
      </w:r>
      <w:r>
        <w:rPr>
          <w:rStyle w:val="FootnoteReference"/>
        </w:rPr>
        <w:footnoteReference w:id="66"/>
      </w:r>
      <w:r>
        <w:t xml:space="preserve">. Chodzi mi o to, że – zamierzenie czy nie (a rozróżnienie to ma niewielkie znaczenie, gdy uwaga skupia się na efekcie i recepcji) – Molierowski przekład</w:t>
      </w:r>
      <w:r>
        <w:t xml:space="preserve"> </w:t>
      </w:r>
      <w:r>
        <w:rPr>
          <w:i/>
          <w:iCs/>
        </w:rPr>
        <w:t xml:space="preserve">Cyganiątka</w:t>
      </w:r>
      <w:r>
        <w:t xml:space="preserve"> </w:t>
      </w:r>
      <w:r>
        <w:t xml:space="preserve">przemienił fantazje o Gadje przenikających do społeczności romskiej w ich przeciwieństwo: w fantazje o Romach przenikających do społeczności Gadje. Dla czytelników obeznanych z fikcjonalizacją i dramatyzacją wczesnonowożytnych formacji rasowych Molierowski przekład noweli Cervantesa dla sceny francuskiej czyta się jak opowieść o uchodzeniu za białych.</w:t>
      </w:r>
    </w:p>
    <w:p>
      <w:pPr>
        <w:pStyle w:val="BodyText"/>
      </w:pPr>
      <w:r>
        <w:t xml:space="preserve">Cynthia Damon wykazała, że komedia rzymska, w tym</w:t>
      </w:r>
      <w:r>
        <w:t xml:space="preserve"> </w:t>
      </w:r>
      <w:r>
        <w:rPr>
          <w:i/>
          <w:iCs/>
        </w:rPr>
        <w:t xml:space="preserve">Formion</w:t>
      </w:r>
      <w:r>
        <w:t xml:space="preserve"> </w:t>
      </w:r>
      <w:r>
        <w:t xml:space="preserve">Terencjusza, przetworzyła postać stałą pasożyta z dramatu greckiego w figurę skupiającą niepokoje związane z ekscesami, dysfunkcjami i wewnętrznymi sprzecznościami rzymskiego systemu patronatu. Na tej samej zasadzie należy rozważyć niepokojące implikacje polityczne decyzji Moliera, by figurę rzymskiego pasożyta przeobrazić we wczesnonowożytnego Roma, a także niebezpieczne rozpowszechnianie stereotypów rasowych, jakie niesie ze sobą obsadzenie Skapena – sympatycznego złodzieja, ale jednak złodzieja – w roli Roma</w:t>
      </w:r>
      <w:r>
        <w:rPr>
          <w:rStyle w:val="FootnoteReference"/>
        </w:rPr>
        <w:footnoteReference w:id="67"/>
      </w:r>
      <w:r>
        <w:t xml:space="preserve">. Mówiąc prościej, sztuka Moliera nie jest postępowa w traktowaniu postaci romskich; jest raczej realistycznym odbiciem wczesnonowożytnych stosunków rasowych. We Francji lat 60. XVII wieku ustawodawstwo antyromskie gwałtownie przyspieszyło. Po kilku edyktach z 1504 roku i z lat 30. XVI wieku, wydalających Romów z królestwa, ordonanse, dekrety lub edykty ogłaszano średnio co czterdzieści lat (w 1560, 1606 i 1647 roku), zawsze w deklarowanym celu rozbicia dużych romskich klanów zdolnych do działań zbrojnych.</w:t>
      </w:r>
    </w:p>
    <w:p>
      <w:pPr>
        <w:pStyle w:val="BodyText"/>
      </w:pPr>
      <w:r>
        <w:t xml:space="preserve">Natomiast między 1660 a 1673 rokiem – w szczytowym okresie kariery Moliera – ogłoszono pięć tekstów zapowiadających coraz surowsze kary. Seria ta znalazła zwieńczenie w królewskiej deklaracji z lipca 1682 roku, która zapoczątkowała nową fazę w historii francuskich Romów: fazę ludobójstwa kulturowego. Karząc za status, a nie za czyny, skazywała ona mężczyzn na dożywotnie galery wyłącznie za to, że byli Romami, bez popełnienia jakiegokolwiek przestępstwa; kobiety skazywała na ogolenie, chłostę i wygnanie, jeśli odmówiłyby porzucenia romskiego trybu życia; dzieci zaś odbierała rodzicom i umieszczała w</w:t>
      </w:r>
      <w:r>
        <w:t xml:space="preserve"> </w:t>
      </w:r>
      <w:r>
        <w:rPr>
          <w:i/>
          <w:iCs/>
        </w:rPr>
        <w:t xml:space="preserve">hôpital</w:t>
      </w:r>
      <w:r>
        <w:t xml:space="preserve"> </w:t>
      </w:r>
      <w:r>
        <w:t xml:space="preserve">razem z żebrakami, włóczęgami, chorymi psychicznie i osobami świadczącymi usługi seksualne, by je przeobrazić – że tak powiem – w Gadje</w:t>
      </w:r>
      <w:r>
        <w:rPr>
          <w:rStyle w:val="FootnoteReference"/>
        </w:rPr>
        <w:footnoteReference w:id="68"/>
      </w:r>
      <w:r>
        <w:t xml:space="preserve">. Przypomnijmy, że artykuł II przyjętej przez ONZ w 1948 roku</w:t>
      </w:r>
      <w:r>
        <w:t xml:space="preserve"> </w:t>
      </w:r>
      <w:r>
        <w:rPr>
          <w:i/>
          <w:iCs/>
        </w:rPr>
        <w:t xml:space="preserve">Konwencji w sprawie zapobiegania i karania zbrodni ludobójstwa</w:t>
      </w:r>
      <w:r>
        <w:t xml:space="preserve"> </w:t>
      </w:r>
      <w:r>
        <w:t xml:space="preserve">wymienia jako akt ludobójstwa „przymusowe przekazywanie dzieci członków grupy [narodowej, etnicznej, rasowej lub religijnej] do innej grupy”, dokonane „w zamiarze zniszczenia w całości lub części”</w:t>
      </w:r>
      <w:r>
        <w:rPr>
          <w:rStyle w:val="FootnoteReference"/>
        </w:rPr>
        <w:footnoteReference w:id="69"/>
      </w:r>
      <w:r>
        <w:t xml:space="preserve">. Becky Taylor i David Cressy zauważyli, że przetrwanie Romów we wczesnonowożytnej Europie tłumaczy się w dużej mierze rozdźwiękiem między coraz surowszymi prawami a niezdolnością lub niechęcią ludności europejskiej do ich egzekwowania na szczeblu lokalnym</w:t>
      </w:r>
      <w:r>
        <w:rPr>
          <w:rStyle w:val="FootnoteReference"/>
        </w:rPr>
        <w:footnoteReference w:id="70"/>
      </w:r>
      <w:r>
        <w:t xml:space="preserve">. Ludobójcza deklaracja z 1682 roku skutecznie jednak podkopała lokalny opór, grożąc wiejskiej arystokracji konfiskatą majątku, jeśli nadal będzie gościć i chronić romskich artystów, jak to czyniła od tak dawna.</w:t>
      </w:r>
    </w:p>
    <w:p>
      <w:pPr>
        <w:pStyle w:val="BodyText"/>
      </w:pPr>
      <w:r>
        <w:t xml:space="preserve">Historycy ustalili związek przyczynowy między zaostrzaniem praw antyromskich od lat 60. XVII wieku a potrzebą obsadzenia królewskich galer załogami do prowadzenia licznych wojen – to właśnie Lucassen i Willems nazywają „hipotezą rekrutacji wojskowej”</w:t>
      </w:r>
      <w:r>
        <w:rPr>
          <w:rStyle w:val="FootnoteReference"/>
        </w:rPr>
        <w:footnoteReference w:id="71"/>
      </w:r>
      <w:r>
        <w:t xml:space="preserve">. Już w 1662 roku Jean-Baptiste Colbert (który mniej więcej dwadzieścia lat później odegrał kluczową rolę w ustanowieniu niesławnego</w:t>
      </w:r>
      <w:r>
        <w:t xml:space="preserve"> </w:t>
      </w:r>
      <w:r>
        <w:rPr>
          <w:i/>
          <w:iCs/>
        </w:rPr>
        <w:t xml:space="preserve">Code Noir</w:t>
      </w:r>
      <w:r>
        <w:t xml:space="preserve"> </w:t>
      </w:r>
      <w:r>
        <w:t xml:space="preserve">[Kodeks czarny], określającego warunki niewolnictwa we francuskich koloniach) nakłaniał parlamenty regionalne, by jak najczęściej zsyłały więźniów na galery i zamieniały w tym celu kary śmierci</w:t>
      </w:r>
      <w:r>
        <w:rPr>
          <w:rStyle w:val="FootnoteReference"/>
        </w:rPr>
        <w:footnoteReference w:id="72"/>
      </w:r>
      <w:r>
        <w:t xml:space="preserve">. Kara galer, wynaleziona pod koniec XV wieku, wisiała w drugiej połowie XVII wieku jak miecz Damoklesa nad głową każdego Roma. Nie wszystkich galerników skazywano dożywotnio, ale źródła ujawniają ogólną śmiertelność na poziomie 50 procent, przy czym mniej więcej jedna trzecia zgonów przypadała na pierwsze trzy lata od skazania</w:t>
      </w:r>
      <w:r>
        <w:rPr>
          <w:rStyle w:val="FootnoteReference"/>
        </w:rPr>
        <w:footnoteReference w:id="73"/>
      </w:r>
      <w:r>
        <w:t xml:space="preserve">. Galernik był „nabytkiem króla, niewolnikiem pozbawionym praw obywatelskich na czas odbywania kary na królewskich galerach, która często trwała całe życie”</w:t>
      </w:r>
      <w:r>
        <w:rPr>
          <w:rStyle w:val="FootnoteReference"/>
        </w:rPr>
        <w:footnoteReference w:id="74"/>
      </w:r>
      <w:r>
        <w:t xml:space="preserve">. W drugiej połowie stulecia archiwa często odnotowują wypowiedzi francuskich urzędników nazywających galerników „niewolnikami” („esclaves”)</w:t>
      </w:r>
      <w:r>
        <w:rPr>
          <w:rStyle w:val="FootnoteReference"/>
        </w:rPr>
        <w:footnoteReference w:id="75"/>
      </w:r>
      <w:r>
        <w:t xml:space="preserve">. W 1687 roku Francja utworzyła pierwszą w Europie scentralizowaną formację policyjną,</w:t>
      </w:r>
      <w:r>
        <w:t xml:space="preserve"> </w:t>
      </w:r>
      <w:r>
        <w:rPr>
          <w:i/>
          <w:iCs/>
        </w:rPr>
        <w:t xml:space="preserve">maréchaussée</w:t>
      </w:r>
      <w:r>
        <w:t xml:space="preserve">, której głównym zadaniem było wyłapywanie Romów i włóczęgów, by zsyłać ich na galery</w:t>
      </w:r>
      <w:r>
        <w:rPr>
          <w:rStyle w:val="FootnoteReference"/>
        </w:rPr>
        <w:footnoteReference w:id="76"/>
      </w:r>
      <w:r>
        <w:t xml:space="preserve">. W takich okolicznościach w interesie Zerbinety mogło jak najbardziej leżeć znalezienie szybkiej drogi wyjścia z egipskiej kondycji, czy to przez skłamanie co do swego urodzenia, czy, prościej, przez poślubienie łatwowiernego Gadjo</w:t>
      </w:r>
      <w:r>
        <w:rPr>
          <w:rStyle w:val="FootnoteReference"/>
        </w:rPr>
        <w:footnoteReference w:id="77"/>
      </w:r>
      <w:r>
        <w:t xml:space="preserve">. Co zaś do Skapena, jego występ w roli sfrancuziałego łacińskiego pasożyta i włoskiego</w:t>
      </w:r>
      <w:r>
        <w:t xml:space="preserve"> </w:t>
      </w:r>
      <w:r>
        <w:rPr>
          <w:i/>
          <w:iCs/>
        </w:rPr>
        <w:t xml:space="preserve">zanni</w:t>
      </w:r>
      <w:r>
        <w:t xml:space="preserve"> </w:t>
      </w:r>
      <w:r>
        <w:t xml:space="preserve">okazał się skutecznym przebraniem ochronnym – tak skutecznym, że do dziś umyka on uwadze badaczy rasy.</w:t>
      </w:r>
    </w:p>
    <w:p>
      <w:pPr>
        <w:pStyle w:val="BodyText"/>
      </w:pPr>
      <w:r>
        <w:t xml:space="preserve">Doświadczenie Skapena jako Roma uchodzącego za białego, poruszającego się w społeczeństwie Gadje, może być tym, co czyni go tak biegłym w przywoływaniu widma różnicy kulturowej, etnicznej i rasowej, by uzyskać od Gadje to, czego chce. Gdy na przykład, chcąc pomścić swoje krzywdy, płata Gerontowi słynnego figla z workiem – chowa</w:t>
      </w:r>
      <w:r>
        <w:t xml:space="preserve"> </w:t>
      </w:r>
      <w:r>
        <w:rPr>
          <w:i/>
          <w:iCs/>
        </w:rPr>
        <w:t xml:space="preserve">senexa</w:t>
      </w:r>
      <w:r>
        <w:t xml:space="preserve"> </w:t>
      </w:r>
      <w:r>
        <w:t xml:space="preserve">do worka, by go obić, udając kogoś innego – naśladuje obce akcenty, wymachując środkami mowy widmem gwałtownych</w:t>
      </w:r>
      <w:r>
        <w:t xml:space="preserve"> </w:t>
      </w:r>
      <w:r>
        <w:rPr>
          <w:i/>
          <w:iCs/>
        </w:rPr>
        <w:t xml:space="preserve">étrangers</w:t>
      </w:r>
      <w:r>
        <w:t xml:space="preserve">. Oba obce akcenty, którymi Skapen posługuje się w tej scenie, są znaczące, pochodzą bowiem z regionów granicznych: nie z Hiszpanii czy Niemiec, lecz z Gaskonii i Szwajcarii – regionów, które nie są francuskie, ale też nie są niefrancuskie, ani swoje, ani obce – jak Romowie dla Gadje. W tej scenie Skapen użycza głosu liminalności, hybrydowym tożsamościom kulturowym, które naciskają na granicę między swoimi a obcymi i może właśnie dlatego przerażają Geronta</w:t>
      </w:r>
      <w:r>
        <w:rPr>
          <w:rStyle w:val="FootnoteReference"/>
        </w:rPr>
        <w:footnoteReference w:id="78"/>
      </w:r>
      <w:r>
        <w:t xml:space="preserve">. Pod znakiem Skapena cała sztuka naciska na granicę między obcymi a swoimi, tak drogą jej bohaterom. Argant odkrywa przecież, że Hiacynta jest tą samą córką, którą uważał za zaginioną na morzu: obcy może okazać się swoim, i odwrotnie – knując z Leandrem przeciw jego ojcu, Skapen sugeruje, że ci, których uważamy za swoich, mogą okazać się obcymi</w:t>
      </w:r>
      <w:r>
        <w:rPr>
          <w:rStyle w:val="FootnoteReference"/>
        </w:rPr>
        <w:footnoteReference w:id="79"/>
      </w:r>
      <w:r>
        <w:t xml:space="preserve">. Jego drugi fortel, którym wyłudza od Geronta pieniądze, opiera się na strachu przed muzułmanami: islamofobiczna logika kłamstw, jakimi karmi Geronta, jest taka, że gdyby Leander nie przyjął gościny przyjaznego Turka, który zaprosił go na jedzenie i picie na pokład swego statku, nie groziłaby mu teraz niewola w Algierze. Worek sztuczek Skapena jest pełen stereotypów rasowych – całego korpusu wiedzy.</w:t>
      </w:r>
    </w:p>
    <w:p>
      <w:pPr>
        <w:pStyle w:val="BodyText"/>
      </w:pPr>
      <w:r>
        <w:t xml:space="preserve">W swoim muzułmańskim fortelu Skapen splata wątki ksenofobii i rasizmu religijnego z przenikliwą troską o zniewolenie. Jak jasno pokazały wspomniane wyżej prawa antyromskie, niesławny, lecz trwały mit, wedle którego Romowie porywali dzieci Gadje – mit, którego ucieleśnieniem jest historia samej Zerbinety – był perwersyjnym odwróceniem historycznych realiów wczesnonowożytnego handlu ludźmi. W XVII-wiecznej Francji, zgodnie z ludobójczą deklaracją z 1682 roku, to romskie dzieci wyrywano z rodzin, by je przeobrażać, i to Romowie znikali na królewskich galerach jako niewolnicy. Ta dynamika odwrócenia nawiedza muzułmański fortel Skapena: Skapen wmawia ojcu, że jego pieniądze uwolnią zniewolonego białego mężczyznę z rąk brązowoskórych muzułmanów, a synowi – że pieniądze skradzione ojcu ocalą zniewoloną kobietę, uważaną za białą, z rąk brązowoskórych Romów. Statystycznie jednak osoba zniewolona w Neapolu, gdzie rozgrywa się akcja sztuki, raczej nie była białym Gadjo. Hiszpańska placówka, jaką był Neapol, skupiała bowiem jedną z największych populacji zniewolonych we Włoszech, w tym ludzi pochodzenia subsaharyjskiego, dość widocznych i słyszalnych, by odcisnąć piętno na wczesnonowożytnej neapolitańskiej kulturze wizualnej i muzycznej</w:t>
      </w:r>
      <w:r>
        <w:rPr>
          <w:rStyle w:val="FootnoteReference"/>
        </w:rPr>
        <w:footnoteReference w:id="80"/>
      </w:r>
      <w:r>
        <w:t xml:space="preserve">. W intrydze muzułmańskiego fortelu Skapen odwraca dynamikę rasową neapolitańskich wczesnonowożytnych praktyk zniewolenia, ponieważ wie, że tak właśnie działa biała supremacja i że to właśnie jego rozmówcy muszą usłyszeć, by dać mu to, czego chce. W</w:t>
      </w:r>
      <w:r>
        <w:t xml:space="preserve"> </w:t>
      </w:r>
      <w:r>
        <w:rPr>
          <w:i/>
          <w:iCs/>
        </w:rPr>
        <w:t xml:space="preserve">Skapenie</w:t>
      </w:r>
      <w:r>
        <w:t xml:space="preserve"> </w:t>
      </w:r>
      <w:r>
        <w:t xml:space="preserve">nieznośna myśl o Francuzie zniewolonym przez niebiałych jest wierzchołkiem całej góry lodowej urasowionych praktyk handlu ludźmi. Wierzchołek ten jest widoczny ze względu na swoją biel, która zarazem sygnalizuje resztę góry lodowej i ją przesłania.</w:t>
      </w:r>
    </w:p>
    <w:p>
      <w:pPr>
        <w:pStyle w:val="Heading1"/>
      </w:pPr>
      <w:r>
        <w:t xml:space="preserve">5. ARLEKIN RAVENSCROFTA</w:t>
      </w:r>
    </w:p>
    <w:p>
      <w:pPr>
        <w:pStyle w:val="FirstParagraph"/>
      </w:pPr>
      <w:r>
        <w:t xml:space="preserve">Przekładając</w:t>
      </w:r>
      <w:r>
        <w:t xml:space="preserve"> </w:t>
      </w:r>
      <w:r>
        <w:rPr>
          <w:i/>
          <w:iCs/>
        </w:rPr>
        <w:t xml:space="preserve">Szelmostwa Skapena</w:t>
      </w:r>
      <w:r>
        <w:t xml:space="preserve"> </w:t>
      </w:r>
      <w:r>
        <w:t xml:space="preserve">na język dramatu okresu Restauracji w</w:t>
      </w:r>
      <w:r>
        <w:t xml:space="preserve"> </w:t>
      </w:r>
      <w:r>
        <w:rPr>
          <w:i/>
          <w:iCs/>
        </w:rPr>
        <w:t xml:space="preserve">Scaramouch a philosopher</w:t>
      </w:r>
      <w:r>
        <w:t xml:space="preserve"> </w:t>
      </w:r>
      <w:r>
        <w:t xml:space="preserve">(1677), Edward Ravenscroft zmierzył się z górą lodową i obnażył niebiałość Skapena</w:t>
      </w:r>
      <w:r>
        <w:rPr>
          <w:rStyle w:val="FootnoteReference"/>
        </w:rPr>
        <w:footnoteReference w:id="81"/>
      </w:r>
      <w:r>
        <w:t xml:space="preserve">. Po pierwsze, Ravenscroft wyostrzył „cygański” komponent farsy Moliera, wstawiając do niej ornamentalną scenę zaczerpniętą z innej wczesnej sztuki Moliera,</w:t>
      </w:r>
      <w:r>
        <w:t xml:space="preserve"> </w:t>
      </w:r>
      <w:r>
        <w:rPr>
          <w:i/>
          <w:iCs/>
        </w:rPr>
        <w:t xml:space="preserve">Małżeństwa z musu</w:t>
      </w:r>
      <w:r>
        <w:t xml:space="preserve"> </w:t>
      </w:r>
      <w:r>
        <w:t xml:space="preserve">(1664). W tej scenie Zerbinette i „białoskóra” Aurelia (ukochana Octavia, drugiego z bohaterów romantycznych sztuki, który również cierpi na brak gotówki) „wchodzą jak Cyganki, śpiewając i tańcząc”, a wróżąc z ręki, przekonują</w:t>
      </w:r>
      <w:r>
        <w:t xml:space="preserve"> </w:t>
      </w:r>
      <w:r>
        <w:rPr>
          <w:i/>
          <w:iCs/>
        </w:rPr>
        <w:t xml:space="preserve">capitana</w:t>
      </w:r>
      <w:r>
        <w:t xml:space="preserve"> </w:t>
      </w:r>
      <w:r>
        <w:t xml:space="preserve">Spitzfaterra, by zrezygnował z zabiegów o rękę Aurelii, ta bowiem z pewnością przyprawi mu rogi</w:t>
      </w:r>
      <w:r>
        <w:rPr>
          <w:rStyle w:val="FootnoteReference"/>
        </w:rPr>
        <w:footnoteReference w:id="82"/>
      </w:r>
      <w:r>
        <w:t xml:space="preserve">. Podwajając postać Romni i zagęszczając jej rasowy występ numerem chiromancji, Ravenscroft podchwycił romski wątek sztuki Moliera i go uwydatnił.</w:t>
      </w:r>
    </w:p>
    <w:p>
      <w:pPr>
        <w:pStyle w:val="BodyText"/>
      </w:pPr>
      <w:r>
        <w:t xml:space="preserve">Choć położenie Romów po obu stronach kanału La Manche było pod koniec XVII wieku odmienne, archiwum dramatyczne, które bada niniejszy artykuł, ujawnia linie ciągłości. Cressy pisze, że w odróżnieniu od Tudorów Stuartowie „nadal uważali Cyganów za odrażających, choć już nie za takich, których należy ścigać czy eliminować”, i że pod tym względem „Anglia Stuartów różniła się od Europy kontynentalnej, gdzie uprzedzenia się utwardziły, a Cyganie stali się celem coraz ostrzejszych ataków”</w:t>
      </w:r>
      <w:r>
        <w:rPr>
          <w:rStyle w:val="FootnoteReference"/>
        </w:rPr>
        <w:footnoteReference w:id="83"/>
      </w:r>
      <w:r>
        <w:t xml:space="preserve">. Po wojnie trzydziestoletniej ataki te były szczególnie dotkliwe w regionach niemieckojęzycznych (Austria, Bawaria i różne miasta południowo-zachodnich Niemiec wydawały w drugiej połowie stulecia dekrety o wydaleniu), w Świętym Cesarstwie Rzymskim i w Czechach (gdzie Romów wyjęto spod prawa i gdzie na początku XVIII wieku padali ofiarą masowych mordów)</w:t>
      </w:r>
      <w:r>
        <w:rPr>
          <w:rStyle w:val="FootnoteReference"/>
        </w:rPr>
        <w:footnoteReference w:id="84"/>
      </w:r>
      <w:r>
        <w:t xml:space="preserve">. David Mayall wspomina o „zmniejszonej trosce o problem [włóczęgostwa] po około 1660 roku” w Anglii, związanej ze zmianami w systemie pomocy ubogim, jakie przyniósł Settlement Act (ustawa o osiedleniu) z 1662 roku</w:t>
      </w:r>
      <w:r>
        <w:rPr>
          <w:rStyle w:val="FootnoteReference"/>
        </w:rPr>
        <w:footnoteReference w:id="85"/>
      </w:r>
      <w:r>
        <w:t xml:space="preserve">.</w:t>
      </w:r>
    </w:p>
    <w:p>
      <w:pPr>
        <w:pStyle w:val="BodyText"/>
      </w:pPr>
      <w:r>
        <w:t xml:space="preserve">Choć prawdą jest, że „w XVII wieku nie było nowego ustawodawstwa dotyczącego Cyganów”</w:t>
      </w:r>
      <w:r>
        <w:rPr>
          <w:rStyle w:val="FootnoteReference"/>
        </w:rPr>
        <w:footnoteReference w:id="86"/>
      </w:r>
      <w:r>
        <w:t xml:space="preserve">, jak zauważa historyk społeczny David Hitchcock, wszyscy władcy Anglii drugiej połowy stulecia wydawali proklamacje mające na celu wyeliminowanie włóczęgostwa z królestwa, tak że „do 1700 roku włóczęgów i drobnych przestępców rutynowo wysyłano na morze, czy to jako służbę kontraktową, czy jako przymusowo wcielonych żołnierzy i marynarzy. Deportacja karna stała się emblematyczną metodą, za pomocą której państwo angielskie pozbywało się niepożądanych i niezasługujących – najpierw w swoich koloniach atlantyckich, potem na pływających okrętach-więzieniach na Tamizie, wreszcie w kolonii Australii – przy czym wszystkie te miejsca służyły jako instytucje karne w samym tylko XVIII wieku”</w:t>
      </w:r>
      <w:r>
        <w:rPr>
          <w:rStyle w:val="FootnoteReference"/>
        </w:rPr>
        <w:footnoteReference w:id="87"/>
      </w:r>
      <w:r>
        <w:t xml:space="preserve">. To, że angielscy Romowie, podpadając pod szerszą kategorię „włóczęgów”, stali się administracyjnie niewidoczni, nie znaczy, że zniknęli czy przestali być kryminalizowani: przeciwnie, ich karna deportacja pomagała zaspokoić zapotrzebowanie na tanią, często związaną kontraktem kolonialną siłę roboczą. Włóczęgostwo w okresie po 1662 roku, jak twierdzi Hitchcock,</w:t>
      </w:r>
    </w:p>
    <w:p>
      <w:pPr>
        <w:pStyle w:val="BlockText"/>
      </w:pPr>
      <w:r>
        <w:t xml:space="preserve">pozostawało bez wątpienia jedną z czołowych trosk projektodawców, ustawodawców, urzędników parafialnych, sędziów, a nawet monarchów, nie mówiąc już o tym, że było widmem nawiedzającym życie samych ubogich. Nie zniknęło ani jako konstrukt kulturowy, ani jako społeczna i ekonomiczna konsekwencja w stuleciu po 1650 roku, a powinniśmy się wystrzegać dowodzenia, że względny niedostatek tradycyjnych źródeł wskazuje na wyraźne „złagodzenie” problemu ekonomicznego (włóczęgostwa), o którym wiadomo, że miał charakter strukturalny, zwłaszcza gdy liczba bezrolnych robotników obojga płci poszukujących pracy stale rosła</w:t>
      </w:r>
      <w:r>
        <w:rPr>
          <w:rStyle w:val="FootnoteReference"/>
        </w:rPr>
        <w:footnoteReference w:id="88"/>
      </w:r>
      <w:r>
        <w:t xml:space="preserve">.</w:t>
      </w:r>
    </w:p>
    <w:p>
      <w:pPr>
        <w:pStyle w:val="FirstParagraph"/>
      </w:pPr>
      <w:r>
        <w:t xml:space="preserve">Co więcej, historycy, którzy twierdzą, że „wzmianki o Cyganach w źródłach politycznych i kulturowych [między połową XVII a końcem XVIII wieku] pozostają »niezwykle nieliczne«”, mogliby być zaskoczeni archiwami dramatu okresu Restauracji</w:t>
      </w:r>
      <w:r>
        <w:rPr>
          <w:rStyle w:val="FootnoteReference"/>
        </w:rPr>
        <w:footnoteReference w:id="89"/>
      </w:r>
      <w:r>
        <w:t xml:space="preserve">. Proste wyszukiwanie słowa</w:t>
      </w:r>
      <w:r>
        <w:t xml:space="preserve"> </w:t>
      </w:r>
      <w:r>
        <w:rPr>
          <w:i/>
          <w:iCs/>
        </w:rPr>
        <w:t xml:space="preserve">Gypsy</w:t>
      </w:r>
      <w:r>
        <w:t xml:space="preserve"> </w:t>
      </w:r>
      <w:r>
        <w:t xml:space="preserve">i jego wariantów ortograficznych w haśle przedmiotowym USTC „Drama” w bazie Early English Books Online (EEBO) daje 126 sztuk, z których mniej więcej dwie trzecie opublikowano po 1661 roku. To prawda, że większość tych sztuk jedynie napomyka o Romach, nie wprowadzając ich na scenę, a wiele z nich to przedruki sztuk sprzed Restauracji; mimo to niemal nieprzerwany wzrost liczby aluzji do „Cyganów” w angielskim korpusie dramatycznym przez całe stulecie świadczy o trwałości figury romskiej w angielskiej wyobraźni kulturowej i o roli kultury teatralnej w jej utrwalaniu.</w:t>
      </w:r>
    </w:p>
    <w:p>
      <w:pPr>
        <w:pStyle w:val="BodyText"/>
      </w:pPr>
      <w:r>
        <w:t xml:space="preserve">W świetle tak trwałych przedstawień literackich i uporczywych wysiłków społecznych, by wtłoczyć Romów w kapitalistyczną machinę wywłaszczenia, odczytuję decyzję Edwarda Ravenscrofta o rozdzieleniu Molierowskiego Roma uchodzącego za białego na dwóch uzupełniających się</w:t>
      </w:r>
      <w:r>
        <w:t xml:space="preserve"> </w:t>
      </w:r>
      <w:r>
        <w:rPr>
          <w:i/>
          <w:iCs/>
        </w:rPr>
        <w:t xml:space="preserve">zanni</w:t>
      </w:r>
      <w:r>
        <w:t xml:space="preserve">: Plautina – intryganta – i Arlekina w czarnej masce, który jest „lepszy w wykonaniu niż w wymyślaniu” i którego afrykańskość wydobył na pierwszy plan przede wszystkim Hornback</w:t>
      </w:r>
      <w:r>
        <w:rPr>
          <w:rStyle w:val="FootnoteReference"/>
        </w:rPr>
        <w:footnoteReference w:id="90"/>
      </w:r>
      <w:r>
        <w:t xml:space="preserve">. Tak jak romski wymiar Molierowskiego Skapena staje się bardziej widoczny, gdy czytamy go w dialogu z całą twórczością Moliera (w tym z</w:t>
      </w:r>
      <w:r>
        <w:t xml:space="preserve"> </w:t>
      </w:r>
      <w:r>
        <w:rPr>
          <w:i/>
          <w:iCs/>
        </w:rPr>
        <w:t xml:space="preserve">Chorym z urojenia</w:t>
      </w:r>
      <w:r>
        <w:t xml:space="preserve">), tak afrykanistyczny wymiar Arlekina Ravenscrofta staje się bardziej widoczny, gdy czytamy</w:t>
      </w:r>
      <w:r>
        <w:t xml:space="preserve"> </w:t>
      </w:r>
      <w:r>
        <w:rPr>
          <w:i/>
          <w:iCs/>
        </w:rPr>
        <w:t xml:space="preserve">Scaramouch a philosopher</w:t>
      </w:r>
      <w:r>
        <w:t xml:space="preserve"> </w:t>
      </w:r>
      <w:r>
        <w:t xml:space="preserve">w kontekście całej twórczości Ravenscrofta, naznaczonej jednoznaczną i długotrwałą fascynacją kwestią czarnego niewolnictwa.</w:t>
      </w:r>
    </w:p>
    <w:p>
      <w:pPr>
        <w:pStyle w:val="BodyText"/>
      </w:pPr>
      <w:r>
        <w:t xml:space="preserve">W swojej pierwszej sztuce,</w:t>
      </w:r>
      <w:r>
        <w:t xml:space="preserve"> </w:t>
      </w:r>
      <w:r>
        <w:rPr>
          <w:i/>
          <w:iCs/>
        </w:rPr>
        <w:t xml:space="preserve">The citizen turn’d gentleman</w:t>
      </w:r>
      <w:r>
        <w:t xml:space="preserve"> </w:t>
      </w:r>
      <w:r>
        <w:t xml:space="preserve">(Mieszczanin, co został szlachcicem, 1672), Ravenscroft przełożył na angielski</w:t>
      </w:r>
      <w:r>
        <w:t xml:space="preserve"> </w:t>
      </w:r>
      <w:r>
        <w:rPr>
          <w:i/>
          <w:iCs/>
        </w:rPr>
        <w:t xml:space="preserve">Mieszczanina szlachcicem</w:t>
      </w:r>
      <w:r>
        <w:t xml:space="preserve"> </w:t>
      </w:r>
      <w:r>
        <w:t xml:space="preserve">(</w:t>
      </w:r>
      <w:r>
        <w:rPr>
          <w:i/>
          <w:iCs/>
        </w:rPr>
        <w:t xml:space="preserve">Le bourgeois gentilhomme</w:t>
      </w:r>
      <w:r>
        <w:t xml:space="preserve">) Moliera i dodał „trzech czarnych” do pseudotureckiego orszaku, za pomocą którego w oryginale oszukuje się pana Jordena</w:t>
      </w:r>
      <w:r>
        <w:rPr>
          <w:rStyle w:val="FootnoteReference"/>
        </w:rPr>
        <w:footnoteReference w:id="91"/>
      </w:r>
      <w:r>
        <w:t xml:space="preserve">. Szczegół ten świadczy o tradycyjnym przypisywaniu światu osmańskiemu zróżnicowania rasowego i o wygodnym kojarzeniu niewolnictwa (dosłownego i politycznego) ze Wschodem, tak drogim oświeceniu od jego najwcześniejszych dni. Ponieważ jednak cały koncept sztuki polega na tym, że orszak ten udaje tureckość w samym sercu Londynu, widzowie wiedzą, że wykonawcy ci są najprawdopodobniej Brytyjczykami w obrębie świata przedstawionego sztuki. „Trzech czarnych”, o których mowa, to najprawdopodobniej czarni Brytyjczycy. W tym samym roku, w którym wystawiono</w:t>
      </w:r>
      <w:r>
        <w:t xml:space="preserve"> </w:t>
      </w:r>
      <w:r>
        <w:rPr>
          <w:i/>
          <w:iCs/>
        </w:rPr>
        <w:t xml:space="preserve">Scaramouch a philosopher</w:t>
      </w:r>
      <w:r>
        <w:t xml:space="preserve">, Ravenscroft napisał</w:t>
      </w:r>
      <w:r>
        <w:t xml:space="preserve"> </w:t>
      </w:r>
      <w:r>
        <w:rPr>
          <w:i/>
          <w:iCs/>
        </w:rPr>
        <w:t xml:space="preserve">The English lawyer</w:t>
      </w:r>
      <w:r>
        <w:t xml:space="preserve"> </w:t>
      </w:r>
      <w:r>
        <w:t xml:space="preserve">(Angielski prawnik), przekład łacińskiej komedii George’a Ruggle’a</w:t>
      </w:r>
      <w:r>
        <w:t xml:space="preserve"> </w:t>
      </w:r>
      <w:r>
        <w:rPr>
          <w:i/>
          <w:iCs/>
        </w:rPr>
        <w:t xml:space="preserve">Ignoramus</w:t>
      </w:r>
      <w:r>
        <w:t xml:space="preserve"> </w:t>
      </w:r>
      <w:r>
        <w:t xml:space="preserve">(1615), w której występuje Bannacar, uczciwy czarny chrześcijański sługa („mały czarny chłopiec Banacar”), którego status prawny pozostaje niejasny i którego ręce są „zabarwione czernią nocy”</w:t>
      </w:r>
      <w:r>
        <w:rPr>
          <w:rStyle w:val="FootnoteReference"/>
        </w:rPr>
        <w:footnoteReference w:id="92"/>
      </w:r>
      <w:r>
        <w:t xml:space="preserve">. Szczęśliwe rozwiązanie sztuki zależy od prawości Bannacara. Ravenscroft zmniejszył liczbę scen z udziałem Bannacara</w:t>
      </w:r>
      <w:r>
        <w:rPr>
          <w:rStyle w:val="FootnoteReference"/>
        </w:rPr>
        <w:footnoteReference w:id="93"/>
      </w:r>
      <w:r>
        <w:t xml:space="preserve"> </w:t>
      </w:r>
      <w:r>
        <w:t xml:space="preserve">i wprowadził jedną dużą zmianę: podczas gdy u Ruggle’a panem Bannacara był Theodorus, kupiec mieszkający we francuskim porcie handlu niewolnikami, Bordeaux, u Ravenscrofta panią Bannacara jest żona Theodorusa, Dorothea, która mieszka w Londynie i pod koniec sztuki dołącza do męża w Bordeaux ze swoim Murzynem. Innymi słowy, Ravenscroft zanglicyzował Bannacara, przywołując na scenie to, co poświadcza kultura wizualna: modę na zniewolonych czarnych paziów wśród zamożnych kobiet po obu stronach kanału La Manche w drugiej połowie XVII wieku. Wreszcie Ravenscroft jest najbardziej znany z przeróbki</w:t>
      </w:r>
      <w:r>
        <w:t xml:space="preserve"> </w:t>
      </w:r>
      <w:r>
        <w:rPr>
          <w:i/>
          <w:iCs/>
        </w:rPr>
        <w:t xml:space="preserve">Tytusa Andronikusa</w:t>
      </w:r>
      <w:r>
        <w:t xml:space="preserve"> </w:t>
      </w:r>
      <w:r>
        <w:t xml:space="preserve">(</w:t>
      </w:r>
      <w:r>
        <w:rPr>
          <w:i/>
          <w:iCs/>
        </w:rPr>
        <w:t xml:space="preserve">Titus Andronicus</w:t>
      </w:r>
      <w:r>
        <w:t xml:space="preserve">) Szekspira, dokonanej mniej więcej rok po</w:t>
      </w:r>
      <w:r>
        <w:t xml:space="preserve"> </w:t>
      </w:r>
      <w:r>
        <w:rPr>
          <w:i/>
          <w:iCs/>
        </w:rPr>
        <w:t xml:space="preserve">Scaramouch a philosopher</w:t>
      </w:r>
      <w:r>
        <w:t xml:space="preserve">. Przepisanie sztuki, która jako pierwsza w dramacie angielskim dała głos zniewolonemu czarnemu mężczyźnie, najwyraźniej okazało się dla Ravenscrofta pokusą nie do odparcia. Mówiąc prościej,</w:t>
      </w:r>
      <w:r>
        <w:t xml:space="preserve"> </w:t>
      </w:r>
      <w:r>
        <w:rPr>
          <w:i/>
          <w:iCs/>
        </w:rPr>
        <w:t xml:space="preserve">Scaramouch a philosopher</w:t>
      </w:r>
      <w:r>
        <w:t xml:space="preserve"> </w:t>
      </w:r>
      <w:r>
        <w:t xml:space="preserve">napisał dramatopisarz żywo zainteresowany kwestią czarnego niewolnictwa na angielskiej ziemi.</w:t>
      </w:r>
    </w:p>
    <w:p>
      <w:pPr>
        <w:pStyle w:val="BodyText"/>
      </w:pPr>
      <w:r>
        <w:t xml:space="preserve">Nie jest zatem zaskoczeniem, że jego Arlekinowi w czarnej masce grozi zniewolenie za popełniane oszustwa.</w:t>
      </w:r>
      <w:r>
        <w:t xml:space="preserve"> </w:t>
      </w:r>
      <w:r>
        <w:rPr>
          <w:i/>
          <w:iCs/>
        </w:rPr>
        <w:t xml:space="preserve">Seneses</w:t>
      </w:r>
      <w:r>
        <w:t xml:space="preserve"> </w:t>
      </w:r>
      <w:r>
        <w:t xml:space="preserve">nazywają go „villain” i „knave” (dwoma terminami, które, jak przypomina Susan Phillips, odnoszą się do form zależności niewolniczej)</w:t>
      </w:r>
      <w:r>
        <w:rPr>
          <w:rStyle w:val="FootnoteReference"/>
        </w:rPr>
        <w:footnoteReference w:id="94"/>
      </w:r>
      <w:r>
        <w:t xml:space="preserve">, a także „rogue” (terminem często kojarzonym z Romami)</w:t>
      </w:r>
      <w:r>
        <w:rPr>
          <w:rStyle w:val="FootnoteReference"/>
        </w:rPr>
        <w:footnoteReference w:id="95"/>
      </w:r>
      <w:r>
        <w:t xml:space="preserve">. Arlekin jest przedmiotem gniewu</w:t>
      </w:r>
      <w:r>
        <w:t xml:space="preserve"> </w:t>
      </w:r>
      <w:r>
        <w:rPr>
          <w:i/>
          <w:iCs/>
        </w:rPr>
        <w:t xml:space="preserve">seneses</w:t>
      </w:r>
      <w:r>
        <w:t xml:space="preserve">, z których jeden chce go „powiesić od razu”, a drugi – „wziąć na strappado”</w:t>
      </w:r>
      <w:r>
        <w:rPr>
          <w:rStyle w:val="FootnoteReference"/>
        </w:rPr>
        <w:footnoteReference w:id="96"/>
      </w:r>
      <w:r>
        <w:t xml:space="preserve">, a później „łamać żywcem kołem” albo „zesłać na galery”, najpierw „na siedem lat”, a potem „na całe życie” za jego zuchwałość</w:t>
      </w:r>
      <w:r>
        <w:rPr>
          <w:rStyle w:val="FootnoteReference"/>
        </w:rPr>
        <w:footnoteReference w:id="97"/>
      </w:r>
      <w:r>
        <w:t xml:space="preserve">. Galery przywodzą oczywiście na myśl niedolę Romów pod koniec XVII wieku i może nie jest przypadkiem, że to właśnie Arlekin rzuca w sztuce najbardziej bezpośrednie antyromskie żarty</w:t>
      </w:r>
      <w:r>
        <w:rPr>
          <w:rStyle w:val="FootnoteReference"/>
        </w:rPr>
        <w:footnoteReference w:id="98"/>
      </w:r>
      <w:r>
        <w:t xml:space="preserve">. Estetyka widowiska rasowego Ravenscrofta, szalenie modna na scenie okresu Restauracji, łączy romskość i czarność w gramatyce wizualnej, która czyni jawnym to, co w sztuce Moliera pozostawało domyślne</w:t>
      </w:r>
      <w:r>
        <w:rPr>
          <w:rStyle w:val="FootnoteReference"/>
        </w:rPr>
        <w:footnoteReference w:id="99"/>
      </w:r>
      <w:r>
        <w:t xml:space="preserve">. W przekładzie Ravenscrofta ciało Arlekina staje się tyglem, w którym romskość i czarność stapiają się we wspólnej ekonomii potencjalnego zniewolenia.</w:t>
      </w:r>
    </w:p>
    <w:p>
      <w:pPr>
        <w:pStyle w:val="BodyText"/>
      </w:pPr>
      <w:r>
        <w:t xml:space="preserve">Skojarzenie postaci romskich z subsaharyjskimi nie było oczywiście na angielskiej scenie okresu Restauracji czymś całkiem nowym. Poza choreograficzną tradycją urasawiających</w:t>
      </w:r>
      <w:r>
        <w:t xml:space="preserve"> </w:t>
      </w:r>
      <w:r>
        <w:rPr>
          <w:i/>
          <w:iCs/>
        </w:rPr>
        <w:t xml:space="preserve">antics</w:t>
      </w:r>
      <w:r>
        <w:t xml:space="preserve">, o której przeniesieniu z postaci romskich na subsaharyjskie w późnym teatrze jakubowym już wspomniałam, dramat karoliński poczynił w tym kierunku wyraźne kroki. Na przykład w</w:t>
      </w:r>
      <w:r>
        <w:t xml:space="preserve"> </w:t>
      </w:r>
      <w:r>
        <w:rPr>
          <w:i/>
          <w:iCs/>
        </w:rPr>
        <w:t xml:space="preserve">The English Moor</w:t>
      </w:r>
      <w:r>
        <w:t xml:space="preserve"> </w:t>
      </w:r>
      <w:r>
        <w:t xml:space="preserve">(Angielski Maur, 1637) Richarda Brome’a, gdy Quicksands najmuje Maurów, by „tańczyli i wygłaszali mowy” podczas prywatnej maski w jego domu, Maurowie ci (grani w</w:t>
      </w:r>
      <w:r>
        <w:t xml:space="preserve"> </w:t>
      </w:r>
      <w:r>
        <w:rPr>
          <w:i/>
          <w:iCs/>
        </w:rPr>
        <w:t xml:space="preserve">black-upie</w:t>
      </w:r>
      <w:r>
        <w:t xml:space="preserve"> </w:t>
      </w:r>
      <w:r>
        <w:t xml:space="preserve">przez białych aktorów) odgrywają jednocześnie czarność i romskość</w:t>
      </w:r>
      <w:r>
        <w:rPr>
          <w:rStyle w:val="FootnoteReference"/>
        </w:rPr>
        <w:footnoteReference w:id="100"/>
      </w:r>
      <w:r>
        <w:t xml:space="preserve">. Wprowadzający wchodzi „jak Maur”, prowadząc białą kobietę w</w:t>
      </w:r>
      <w:r>
        <w:t xml:space="preserve"> </w:t>
      </w:r>
      <w:r>
        <w:rPr>
          <w:i/>
          <w:iCs/>
        </w:rPr>
        <w:t xml:space="preserve">black-upie</w:t>
      </w:r>
      <w:r>
        <w:t xml:space="preserve"> </w:t>
      </w:r>
      <w:r>
        <w:t xml:space="preserve">przedstawioną jako etiopska księżniczka, a jednak nazywa siebie „egipskim prorokiem”, a cały jego występ polega na wróżeniu z ręki</w:t>
      </w:r>
      <w:r>
        <w:rPr>
          <w:rStyle w:val="FootnoteReference"/>
        </w:rPr>
        <w:footnoteReference w:id="101"/>
      </w:r>
      <w:r>
        <w:t xml:space="preserve">. W tym samym roku w mało znanej tragikomedii Lodowicka Carlella</w:t>
      </w:r>
      <w:r>
        <w:t xml:space="preserve"> </w:t>
      </w:r>
      <w:r>
        <w:rPr>
          <w:i/>
          <w:iCs/>
        </w:rPr>
        <w:t xml:space="preserve">The fool would be a favourit</w:t>
      </w:r>
      <w:r>
        <w:t xml:space="preserve"> </w:t>
      </w:r>
      <w:r>
        <w:t xml:space="preserve">(Głupiec chciałby być faworytem; wydanej w 1657 roku) postać nazwana w spisie osób „Maurem” (</w:t>
      </w:r>
      <w:r>
        <w:rPr>
          <w:i/>
          <w:iCs/>
        </w:rPr>
        <w:t xml:space="preserve">A Moor</w:t>
      </w:r>
      <w:r>
        <w:t xml:space="preserve">) określana jest w didaskaliach jako „Gipsie” (Cygan) i wróży z ręki na dworze</w:t>
      </w:r>
      <w:r>
        <w:rPr>
          <w:rStyle w:val="FootnoteReference"/>
        </w:rPr>
        <w:footnoteReference w:id="102"/>
      </w:r>
      <w:r>
        <w:t xml:space="preserve">, a później jeden z protagonistów sztuki nazywa ją „biegłym Maurem, co niedawno przybył na dwór”</w:t>
      </w:r>
      <w:r>
        <w:rPr>
          <w:rStyle w:val="FootnoteReference"/>
        </w:rPr>
        <w:footnoteReference w:id="103"/>
      </w:r>
      <w:r>
        <w:t xml:space="preserve">. W świecie sztuki tożsamość tej postaci jest dość stabilna, by przetrwać różne sceny przebierania się (za maga, a później za jednego z bohaterów romantycznych sztuki): w nim romskość i subsaharyjska czarność stapiają się i osiągają pewien stan osmozy. Ravenscroft nie wymyślił więc powiązania afroromskiego: motyw ten istniał już w angielskiej kulturze widowiskowej, a jego pojawienie się przebiegało według chronologii przypominającej francuską. Nowością w potraktowaniu tego motywu przez Ravenscrofta i, szerzej, w jego wersji z okresu Restauracji był natomiast nacisk na wszechobecną groźbę zniewolenia. Ta nowa dramaturgia wpisała powiązanie afroromskie wprost we wspólną ekonomię niewoli i handlu ludźmi, która – warto to powtórzyć – dotknęła we wczesnonowożytnej białej supremacji zarówno Romów, jak i Afrykanów subsaharyjskich.</w:t>
      </w:r>
    </w:p>
    <w:p>
      <w:pPr>
        <w:pStyle w:val="Heading1"/>
      </w:pPr>
      <w:r>
        <w:t xml:space="preserve">6. STUDIUM PRZYPADKU:</w:t>
      </w:r>
      <w:r>
        <w:t xml:space="preserve"> </w:t>
      </w:r>
      <w:r>
        <w:rPr>
          <w:i/>
          <w:iCs/>
        </w:rPr>
        <w:t xml:space="preserve">THE MARRIAGE BROAKER</w:t>
      </w:r>
    </w:p>
    <w:p>
      <w:pPr>
        <w:pStyle w:val="FirstParagraph"/>
      </w:pPr>
      <w:r>
        <w:rPr>
          <w:i/>
          <w:iCs/>
        </w:rPr>
        <w:t xml:space="preserve">The marriage broaker: or, The pander</w:t>
      </w:r>
      <w:r>
        <w:t xml:space="preserve"> </w:t>
      </w:r>
      <w:r>
        <w:t xml:space="preserve">(Swat, czyli Rajfur) ukazał się w 1662 roku jako dzieło „M. W., M. A.” w tomie</w:t>
      </w:r>
      <w:r>
        <w:t xml:space="preserve"> </w:t>
      </w:r>
      <w:r>
        <w:rPr>
          <w:i/>
          <w:iCs/>
        </w:rPr>
        <w:t xml:space="preserve">Gratiae Theatriales</w:t>
      </w:r>
      <w:r>
        <w:t xml:space="preserve"> </w:t>
      </w:r>
      <w:r>
        <w:t xml:space="preserve">wraz z dwiema innymi sztukami. Może być „redakcją starszej sztuki” napisanej nie wiadomo kiedy</w:t>
      </w:r>
      <w:r>
        <w:rPr>
          <w:rStyle w:val="FootnoteReference"/>
        </w:rPr>
        <w:footnoteReference w:id="104"/>
      </w:r>
      <w:r>
        <w:t xml:space="preserve">. Nie wiemy, czy kiedykolwiek go wystawiono</w:t>
      </w:r>
      <w:r>
        <w:rPr>
          <w:rStyle w:val="FootnoteReference"/>
        </w:rPr>
        <w:footnoteReference w:id="105"/>
      </w:r>
      <w:r>
        <w:t xml:space="preserve"> </w:t>
      </w:r>
      <w:r>
        <w:t xml:space="preserve">ani kto był jego autorem</w:t>
      </w:r>
      <w:r>
        <w:rPr>
          <w:rStyle w:val="FootnoteReference"/>
        </w:rPr>
        <w:footnoteReference w:id="106"/>
      </w:r>
      <w:r>
        <w:t xml:space="preserve">. Jest to sztuka tego rodzaju, z którą historia teatru zwykle się nie liczy, choć dla moich celów ma ona wielkie znaczenie: zwracam się teraz ku niej jako ku ostatniemu studium przypadku, ilustrującemu nadrzędną tezę niniejszego artykułu. Komedia ta śledzi losy dwóch londyńskich galantów, którzy ostatecznie dostają to, czego chcą: poślubiają dwie urocze młode kobiety. Ich wątki biegną równolegle przez większą część sztuki, zbiegają się jednak w pojęciu niewoli. Pierwszy galant, Friendly, kocha Elisę, bratanicę Starego Goodwita, i musi znaleźć sposób, by przełamać początkowy sprzeciw Starego Goodwita wobec tego związku. Gdy nieufny Stary Goodwit wysyła swoją córkę, by szpiegowała kuzynkę, Elisa radzi Friendly’emu, by „służył [jej] w przebraniu Murzyna”</w:t>
      </w:r>
      <w:r>
        <w:rPr>
          <w:rStyle w:val="FootnoteReference"/>
        </w:rPr>
        <w:footnoteReference w:id="107"/>
      </w:r>
      <w:r>
        <w:t xml:space="preserve">, a ich przebiegły sługa Dove, działający w zmowie z kochankami, radzi rywalowi Friendly’ego, Shiftowi, by ofiarował tego zniewolonego Murzyna w prezencie Elisie – gest wielce romantyczny</w:t>
      </w:r>
      <w:r>
        <w:rPr>
          <w:rStyle w:val="FootnoteReference"/>
        </w:rPr>
        <w:footnoteReference w:id="108"/>
      </w:r>
      <w:r>
        <w:t xml:space="preserve">. Sztuka podkreśla materialność kosmetycznej przemiany Friendly’ego – aby nadać Friendly’emu „barwę żałoby”</w:t>
      </w:r>
      <w:r>
        <w:rPr>
          <w:rStyle w:val="FootnoteReference"/>
        </w:rPr>
        <w:footnoteReference w:id="109"/>
      </w:r>
      <w:r>
        <w:t xml:space="preserve">, Dove staje się malarzem:</w:t>
      </w:r>
    </w:p>
    <w:p>
      <w:pPr>
        <w:pStyle w:val="BlockText"/>
      </w:pPr>
      <w:r>
        <w:t xml:space="preserve">Gdy skończyłem pół mego umorusanego dzieła,</w:t>
      </w:r>
      <w:r>
        <w:br/>
      </w:r>
      <w:r>
        <w:t xml:space="preserve">Podałem mu zwierciadło, w którym</w:t>
      </w:r>
      <w:r>
        <w:br/>
      </w:r>
      <w:r>
        <w:t xml:space="preserve">Mógł podziwiać i dziwić się mej biegłości;</w:t>
      </w:r>
      <w:r>
        <w:br/>
      </w:r>
      <w:r>
        <w:t xml:space="preserve">Zdało mi się, żem posiadł sztukę układania</w:t>
      </w:r>
      <w:r>
        <w:br/>
      </w:r>
      <w:r>
        <w:t xml:space="preserve">W jednej przestrzeni różnych kształtów, bo taki był:</w:t>
      </w:r>
      <w:r>
        <w:br/>
      </w:r>
      <w:r>
        <w:t xml:space="preserve">W połowie biały i rumiany, w połowie Murzyn;</w:t>
      </w:r>
      <w:r>
        <w:br/>
      </w:r>
      <w:r>
        <w:t xml:space="preserve">Lecz oto rumieniec zagarnął w nim miejsce</w:t>
      </w:r>
      <w:r>
        <w:br/>
      </w:r>
      <w:r>
        <w:t xml:space="preserve">Zdumienia; miło było patrzeć, jak</w:t>
      </w:r>
      <w:r>
        <w:br/>
      </w:r>
      <w:r>
        <w:t xml:space="preserve">Po jednej stronie wdzięczna skromność</w:t>
      </w:r>
      <w:r>
        <w:br/>
      </w:r>
      <w:r>
        <w:t xml:space="preserve">Spoczywa na łożu z róż;</w:t>
      </w:r>
      <w:r>
        <w:br/>
      </w:r>
      <w:r>
        <w:t xml:space="preserve">Podczas gdy po drugiej czysta krew, płynąc,</w:t>
      </w:r>
      <w:r>
        <w:br/>
      </w:r>
      <w:r>
        <w:t xml:space="preserve">Usiłuje przemóc krzywdę,</w:t>
      </w:r>
      <w:r>
        <w:br/>
      </w:r>
      <w:r>
        <w:t xml:space="preserve">Jaką wyrządził mu Malarz, sprawiając, że wyglądał</w:t>
      </w:r>
      <w:r>
        <w:br/>
      </w:r>
      <w:r>
        <w:t xml:space="preserve">Zupełnie jak Murzyn dmuchający w węgle</w:t>
      </w:r>
      <w:r>
        <w:rPr>
          <w:rStyle w:val="FootnoteReference"/>
        </w:rPr>
        <w:footnoteReference w:id="110"/>
      </w:r>
      <w:r>
        <w:t xml:space="preserve">.</w:t>
      </w:r>
    </w:p>
    <w:p>
      <w:pPr>
        <w:pStyle w:val="FirstParagraph"/>
      </w:pPr>
      <w:r>
        <w:t xml:space="preserve">Użycie słowa „negro” w połączeniu z „Blackamore” nie pozostawia wątpliwości, że Friendly stara się odegrać tożsamość zniewolonego i utowarowionego Afrykanina subsaharyjskiego: „twój sługa gra Murzyna”</w:t>
      </w:r>
      <w:r>
        <w:rPr>
          <w:rStyle w:val="FootnoteReference"/>
        </w:rPr>
        <w:footnoteReference w:id="111"/>
      </w:r>
      <w:r>
        <w:t xml:space="preserve">. Przyjęcie tożsamości „umorusanego Murzyna” skłania Friendly’ego do zmiany mowy ciała: „dobrze mu w tej masce; gdy w pełni skończyłem całą swą robotę, / zaczyna ćwiczyć służalcze gesty”</w:t>
      </w:r>
      <w:r>
        <w:rPr>
          <w:rStyle w:val="FootnoteReference"/>
        </w:rPr>
        <w:footnoteReference w:id="112"/>
      </w:r>
      <w:r>
        <w:t xml:space="preserve">. Następnie Shift ofiarowuje go Elisie jako „czarnego forysia”</w:t>
      </w:r>
      <w:r>
        <w:rPr>
          <w:rStyle w:val="FootnoteReference"/>
        </w:rPr>
        <w:footnoteReference w:id="113"/>
      </w:r>
      <w:r>
        <w:t xml:space="preserve">, otwarcie oświadczając, że „dobrym jest gospodarstwem / dać to, co drogo trzymać, a tanio kupić”</w:t>
      </w:r>
      <w:r>
        <w:rPr>
          <w:rStyle w:val="FootnoteReference"/>
        </w:rPr>
        <w:footnoteReference w:id="114"/>
      </w:r>
      <w:r>
        <w:t xml:space="preserve">. A jednak w przedstawieniu tego zniewolonego Afrykanina subsaharyjskiego regularnie pobrzmiewa także tożsamość romska: Dove mówi Shiftowi, że ów niewolnik to</w:t>
      </w:r>
    </w:p>
    <w:p>
      <w:pPr>
        <w:pStyle w:val="BlockText"/>
      </w:pPr>
      <w:r>
        <w:t xml:space="preserve">Murzyn, którego przymioty</w:t>
      </w:r>
      <w:r>
        <w:br/>
      </w:r>
      <w:r>
        <w:t xml:space="preserve">Wasza wiedza przyzna, zasługują na awans,</w:t>
      </w:r>
      <w:r>
        <w:br/>
      </w:r>
      <w:r>
        <w:t xml:space="preserve">Śpiewa dobrze, tańczy, szermuje, a by przydać blasku</w:t>
      </w:r>
      <w:r>
        <w:br/>
      </w:r>
      <w:r>
        <w:t xml:space="preserve">Tym przymiotom, umie wieszczyć</w:t>
      </w:r>
      <w:r>
        <w:br/>
      </w:r>
      <w:r>
        <w:t xml:space="preserve">Wasze losy i mroczne wyroki Przeznaczenia,</w:t>
      </w:r>
      <w:r>
        <w:br/>
      </w:r>
      <w:r>
        <w:t xml:space="preserve">Nieszczęsne</w:t>
      </w:r>
      <w:r>
        <w:rPr>
          <w:rStyle w:val="FootnoteReference"/>
        </w:rPr>
        <w:footnoteReference w:id="115"/>
      </w:r>
      <w:r>
        <w:t xml:space="preserve">.</w:t>
      </w:r>
    </w:p>
    <w:p>
      <w:pPr>
        <w:pStyle w:val="FirstParagraph"/>
      </w:pPr>
      <w:r>
        <w:t xml:space="preserve">Z jego „wieszczenia” wiemy, że mężczyzna ten jest wróżbitą. Dove zapewnia Elisę, że „we wnętrzu tego Cygana jest twój Friendly”</w:t>
      </w:r>
      <w:r>
        <w:rPr>
          <w:rStyle w:val="FootnoteReference"/>
        </w:rPr>
        <w:footnoteReference w:id="116"/>
      </w:r>
      <w:r>
        <w:t xml:space="preserve">. Shift, jako człowiek regularnie radzący się romskich wróżek, z zapałem daje wiarę Dove’owi, a później, gdy drugi młody galant sztuki, Młody Goodwit, spotyka przebranego Friendly’ego, także on nazywa go „Cyganem”</w:t>
      </w:r>
      <w:r>
        <w:rPr>
          <w:rStyle w:val="FootnoteReference"/>
        </w:rPr>
        <w:footnoteReference w:id="117"/>
      </w:r>
      <w:r>
        <w:t xml:space="preserve">. Przebranie Friendly’ego osiąga doskonały stan osmozy: obie jego tożsamości, subsaharyjska i romska, zostają wyartykułowane w idiomie gry scenicznej w bardzo wysokiej rozdzielczości, odrębne, a zarazem stopione. W nim afroromskie zespolenie jest zupełne.</w:t>
      </w:r>
    </w:p>
    <w:p>
      <w:pPr>
        <w:pStyle w:val="BodyText"/>
      </w:pPr>
      <w:r>
        <w:t xml:space="preserve">Tymczasem obsesja sztuki na punkcie niewoli i handlu ludźmi zostaje wprost wyartykułowana w równoległym wątku drugiego białego galanta, Młodego Goodwita. W akcie piątym, gdy trafia on do więzienia dla dłużników za płaszcz, który nabył tego samego dnia, dowiadujemy się, że całe życie Młodego Goodwita upłynęło pod znakiem niewoli. Wrócił do Londynu zaledwie pięć miesięcy wcześniej z Hiszpanii, gdzie spędził lata na królewskich galerach, tylko po to, by znaleźć się teraz w więzieniu innego rodzaju, na własnej rodzinnej angielskiej ziemi:</w:t>
      </w:r>
    </w:p>
    <w:p>
      <w:pPr>
        <w:pStyle w:val="BlockText"/>
      </w:pPr>
      <w:r>
        <w:t xml:space="preserve">Jakże dziwnie los kieruje mymi przeznaczeniami?</w:t>
      </w:r>
      <w:r>
        <w:br/>
      </w:r>
      <w:r>
        <w:t xml:space="preserve">Nie minęło jeszcze pięć księżyców, odkąd żyłem wolny,</w:t>
      </w:r>
      <w:r>
        <w:br/>
      </w:r>
      <w:r>
        <w:t xml:space="preserve">Choć w obcej przystani; teraz oddycham</w:t>
      </w:r>
      <w:r>
        <w:br/>
      </w:r>
      <w:r>
        <w:t xml:space="preserve">Rodzinnym powietrzem, lecz brak mi wolności,</w:t>
      </w:r>
      <w:r>
        <w:br/>
      </w:r>
      <w:r>
        <w:t xml:space="preserve">A ten porządek mego losu pozwala mi jednak dostrzec</w:t>
      </w:r>
      <w:r>
        <w:br/>
      </w:r>
      <w:r>
        <w:t xml:space="preserve">Pewne podobieństwo w tej sprzeczności.</w:t>
      </w:r>
      <w:r>
        <w:br/>
      </w:r>
      <w:r>
        <w:t xml:space="preserve">Hiszpania była dla mnie tylko szerszym więzieniem,</w:t>
      </w:r>
      <w:r>
        <w:br/>
      </w:r>
      <w:r>
        <w:t xml:space="preserve">Skąd nie było drogi ku mej wolności</w:t>
      </w:r>
      <w:r>
        <w:br/>
      </w:r>
      <w:r>
        <w:t xml:space="preserve">Inaczej niż przez niebezpieczną niewolę,</w:t>
      </w:r>
      <w:r>
        <w:br/>
      </w:r>
      <w:r>
        <w:t xml:space="preserve">Rad, że mogę dać się zamurować w pływającym więzieniu,</w:t>
      </w:r>
      <w:r>
        <w:br/>
      </w:r>
      <w:r>
        <w:t xml:space="preserve">Skoro moim ocaleniem było być tak zamkniętym</w:t>
      </w:r>
      <w:r>
        <w:br/>
      </w:r>
      <w:r>
        <w:t xml:space="preserve">Tam, gdzie lękałem się większych niebezpieczeństw</w:t>
      </w:r>
      <w:r>
        <w:rPr>
          <w:rStyle w:val="FootnoteReference"/>
        </w:rPr>
        <w:footnoteReference w:id="118"/>
      </w:r>
      <w:r>
        <w:t xml:space="preserve">.</w:t>
      </w:r>
    </w:p>
    <w:p>
      <w:pPr>
        <w:pStyle w:val="FirstParagraph"/>
      </w:pPr>
      <w:r>
        <w:t xml:space="preserve">Choć nigdy się nie dowiadujemy, co dokładnie zawiodło go na hiszpańskie galery ani jak zdołał zbiec i wrócić do Anglii, Młody Goodwit wyjawia, że w podróży towarzyszył mu kochający starzec (jego wuj), który przed śmiercią poradził mu, by szukał ojca w Anglii. Młody Goodwit poszedł za tą radą i szukając ojca, zaciągnął długi, które zawiodły go prosto do londyńskiego więzienia dla dłużników. Ironia losu skłania go do rozmyślań nad ucieleśnioną egzystencją w ogóle jako formą niewoli:</w:t>
      </w:r>
    </w:p>
    <w:p>
      <w:pPr>
        <w:pStyle w:val="BlockText"/>
      </w:pPr>
      <w:r>
        <w:t xml:space="preserve">Panie, nauczyłem się, że nic nie jest wolne</w:t>
      </w:r>
      <w:r>
        <w:br/>
      </w:r>
      <w:r>
        <w:t xml:space="preserve">Prócz tego, co nieskończone. Niewola</w:t>
      </w:r>
      <w:r>
        <w:br/>
      </w:r>
      <w:r>
        <w:t xml:space="preserve">Jest dziedzictwem wszystkich rzeczy skończonych;</w:t>
      </w:r>
      <w:r>
        <w:br/>
      </w:r>
      <w:r>
        <w:t xml:space="preserve">Nie możemy chełpić się naszą wolnością, choć</w:t>
      </w:r>
      <w:r>
        <w:br/>
      </w:r>
      <w:r>
        <w:t xml:space="preserve">Nie więżą nas mocne twierdze, skoro</w:t>
      </w:r>
      <w:r>
        <w:br/>
      </w:r>
      <w:r>
        <w:t xml:space="preserve">Sąsiednie powietrze nas ogranicza, a każdy człowiek</w:t>
      </w:r>
      <w:r>
        <w:br/>
      </w:r>
      <w:r>
        <w:t xml:space="preserve">Jest doskonałym godłem poddaństwa, bo we wszystkich</w:t>
      </w:r>
      <w:r>
        <w:br/>
      </w:r>
      <w:r>
        <w:t xml:space="preserve">Dusza jest pojmana, a ciało zniewolone</w:t>
      </w:r>
      <w:r>
        <w:rPr>
          <w:rStyle w:val="FootnoteReference"/>
        </w:rPr>
        <w:footnoteReference w:id="119"/>
      </w:r>
      <w:r>
        <w:t xml:space="preserve">.</w:t>
      </w:r>
    </w:p>
    <w:p>
      <w:pPr>
        <w:pStyle w:val="FirstParagraph"/>
      </w:pPr>
      <w:r>
        <w:t xml:space="preserve">Choć przedstawia on swój pobyt w więzieniu jako sprawę niewoli, to fakt, że spłata długu może kupić mu wolność, przeramowuje tę kwestię jako sprawę handlu ludźmi. Wybawcę znajduje we współwięźniu o wymownym imieniu Freeman, który, jak się okazuje, sam siedzi w więzieniu za dług wobec wuja Młodego Goodwita. Dług ten po śmierci brata przeszedł na Starego Goodwita, a Stary Goodwit okazał się bardziej ustępliwy niż jego zmarły brat i tym samym „skłonny / Przyznać mi wolność za niższą cenę”; Freeman proponuje więc, że „zapłaci cenę za wolność nas obu”, jeśli Młody Goodwit zgodzi się poślubić jego córkę</w:t>
      </w:r>
      <w:r>
        <w:rPr>
          <w:rStyle w:val="FootnoteReference"/>
        </w:rPr>
        <w:footnoteReference w:id="120"/>
      </w:r>
      <w:r>
        <w:t xml:space="preserve">. Tak oto „zaznasz / Większego szczęścia niż wolność, / Przez nową niewolę, lecz słodszą”</w:t>
      </w:r>
      <w:r>
        <w:rPr>
          <w:rStyle w:val="FootnoteReference"/>
        </w:rPr>
        <w:footnoteReference w:id="121"/>
      </w:r>
      <w:r>
        <w:t xml:space="preserve">.</w:t>
      </w:r>
    </w:p>
    <w:p>
      <w:pPr>
        <w:pStyle w:val="BodyText"/>
      </w:pPr>
      <w:r>
        <w:t xml:space="preserve">Doświadczenie handlu ludźmi, jakie staje się udziałem Młodego Goodwita, szczególnie dobrze ilustruje zdolność białej supremacji do retorycznego przekierowywania na siebie form opresji, które systemowo zadaje ludziom niebiałym (coś, co widzieliśmy już przy strukturze góry lodowej w</w:t>
      </w:r>
      <w:r>
        <w:t xml:space="preserve"> </w:t>
      </w:r>
      <w:r>
        <w:rPr>
          <w:i/>
          <w:iCs/>
        </w:rPr>
        <w:t xml:space="preserve">Szelmostwach Skapena</w:t>
      </w:r>
      <w:r>
        <w:t xml:space="preserve">). Doświadczenie niewoli Młodego Goodwita (podobnie jak Leandra) zostaje ujęte jako nie do przyjęcia: jako młody, obiecujący biały mężczyzna na godnej drodze do patriarchalnego autorytetu Młody Goodwit nie powinien się znaleźć ani na galerach hiszpańskich wrogów, ani w angielskim więzieniu dla dłużników. Sztuka czyni to jasnym i naprawia tę moralnie nie do przyjęcia sytuację. Co więcej, jego chwilowe doświadczenie niewoli podsuwa mu płytkie rozważania filozoficzne, które, odczytując w pusty sposób każde ludzkie życie jako formę niewoli, zaciemniają fakt, że niektóre ludzkie życia (te, pod które podszywa się dla własnej korzyści Friendly, gdy Młody Goodwit filozofuje) są o wiele bardziej narażone na zniewolenie i handel ludźmi niż inne. Niektórzy ludzie (ci, którzy nie przypominają Goodwita juniora ani Friendly’ego) są „doskonałym godłem poddaństwa” bardziej niż inni. Sposób, w jaki sztuka traktuje pseudoniewolę Młodego Goodwita, sugeruje zatem, że jeśli, słowami Cathy Park Hong, „biali boją się, że wszystkie grzechy, jakie popełnili wobec czarnych i brązowych ludzi, powrócą do nich dziesięciokrotnie”, to ten cichy lęk sięga co najmniej czterech stuleci wstecz</w:t>
      </w:r>
      <w:r>
        <w:rPr>
          <w:rStyle w:val="FootnoteReference"/>
        </w:rPr>
        <w:footnoteReference w:id="122"/>
      </w:r>
      <w:r>
        <w:t xml:space="preserve">.</w:t>
      </w:r>
      <w:r>
        <w:t xml:space="preserve"> </w:t>
      </w:r>
      <w:commentRangeStart w:id="7"/>
      <w:commentRangeEnd w:id="7"/>
      <w:r>
        <w:rPr>
          <w:rStyle w:val="CommentReference"/>
        </w:rPr>
        <w:commentReference w:id="7"/>
      </w:r>
    </w:p>
    <w:p>
      <w:pPr>
        <w:pStyle w:val="BodyText"/>
      </w:pPr>
      <w:r>
        <w:t xml:space="preserve">Odrębne, a zarazem podobnie rekuperacyjne zaangażowania Młodego Goodwita i Friendly’ego w zniewolenie, niewolę i handel ludźmi przecinają się w metaforze małżeństwa jako „słodkiej niewoli”, którą posługuje się Freeman i która dotyczy obu galantów. Małżeństwo jako niewola postawi bowiem Młodego Goodwita w tej samej sytuacji co Friendly’ego, który z miłości do przyszłej żony odgrywa rolę zniewolonej urasowionej osoby. Metafora ta czerpie z petrarkowskiego toposu niewolnika miłości, często stosowanego we wczesnonowożytnej kulturze widowiskowej wobec mężczyzn w</w:t>
      </w:r>
      <w:r>
        <w:t xml:space="preserve"> </w:t>
      </w:r>
      <w:r>
        <w:rPr>
          <w:i/>
          <w:iCs/>
        </w:rPr>
        <w:t xml:space="preserve">black-upie</w:t>
      </w:r>
      <w:r>
        <w:t xml:space="preserve">: ów petrarkowski topos ujmuje czarność jako skutek prawdziwej, płonącej miłości</w:t>
      </w:r>
      <w:r>
        <w:rPr>
          <w:rStyle w:val="FootnoteReference"/>
        </w:rPr>
        <w:footnoteReference w:id="123"/>
      </w:r>
      <w:r>
        <w:t xml:space="preserve">.</w:t>
      </w:r>
    </w:p>
    <w:p>
      <w:pPr>
        <w:pStyle w:val="BodyText"/>
      </w:pPr>
      <w:r>
        <w:t xml:space="preserve">Sztuka zdaje się jednak krytykować ten topos, raz po raz wkładając go w usta niegodnych postaci. Na przykład gdy Shift – którego imię mówi wszystko – zaczyna zalecać się do Elisy, przedstawia się retorycznie jako „niewolnik”, który „będzie posępnie dźwigał twoje jarzmo, / Choć śmiem rzec, że może zasługiwać na twą łaskę”</w:t>
      </w:r>
      <w:r>
        <w:rPr>
          <w:rStyle w:val="FootnoteReference"/>
        </w:rPr>
        <w:footnoteReference w:id="124"/>
      </w:r>
      <w:r>
        <w:t xml:space="preserve">. Podobnie gdy tytułowy rajfur sztuki, Hog o wymownym imieniu, odczytuje nieco poezji, którą zdobywa kobiety, wygłasza takie wersy jak: „nazwij mnie, czym jestem, o nic więcej nie proszę, / Słodka wdowo, twym uwikłanym galernikiem”</w:t>
      </w:r>
      <w:r>
        <w:rPr>
          <w:rStyle w:val="FootnoteReference"/>
        </w:rPr>
        <w:footnoteReference w:id="125"/>
      </w:r>
      <w:r>
        <w:t xml:space="preserve">. Prostackie użycie, jakie te groteskowe postaci robią z petrarkowskiego toposu, zalecając się do kobiet, jest tym bardziej obłudne, gdy odczytać je w świetle uwag, jakie mężczyźni ci wygłaszają pod nieobecność tych kobiet. Gdy bowiem rozprawiają o kojarzeniu małżeństw, posługują się logiką podboju i kolonizacji, w której zniewoleni są nie oni sami, lecz ich potencjalne partnerki. Derrick, tytułowy swat sztuki, po raz pierwszy przedstawia siebie i sobie podobnych jako „Kupców Dziewictwa”</w:t>
      </w:r>
      <w:r>
        <w:rPr>
          <w:rStyle w:val="FootnoteReference"/>
        </w:rPr>
        <w:footnoteReference w:id="126"/>
      </w:r>
      <w:r>
        <w:t xml:space="preserve">, a przeglądając listę potencjalnych partnerek dla Shifta, przedstawia ją jako mapę ukazującą „kraj Amazonek”</w:t>
      </w:r>
      <w:r>
        <w:rPr>
          <w:rStyle w:val="FootnoteReference"/>
        </w:rPr>
        <w:footnoteReference w:id="127"/>
      </w:r>
      <w:r>
        <w:t xml:space="preserve">. Kraj ten obejmuje takie regiony, jak region Panien, „zwany Virginis: / A ten uchodzi za ziemię żyzną, / Której teraz brak tylko uprawy dobrego męża” – region przywodzący na myśl Wirginię, której Shift chciałby być „Gubernatorem”</w:t>
      </w:r>
      <w:r>
        <w:rPr>
          <w:rStyle w:val="FootnoteReference"/>
        </w:rPr>
        <w:footnoteReference w:id="128"/>
      </w:r>
      <w:r>
        <w:t xml:space="preserve"> </w:t>
      </w:r>
      <w:r>
        <w:t xml:space="preserve">– oraz region wdów, „zwany przez niektórych Wyspą Japonią, / Krajem bogatym i otwartym, choć niektórzy sądzą, / Że nie jest to najsłodsze powietrze”</w:t>
      </w:r>
      <w:r>
        <w:rPr>
          <w:rStyle w:val="FootnoteReference"/>
        </w:rPr>
        <w:footnoteReference w:id="129"/>
      </w:r>
      <w:r>
        <w:t xml:space="preserve">. Przechodząc od amerykańskich do orientalistycznych fantazji o obfitości, mapa swata przedstawia kobiety na wydaniu jako poddanych kolonialnych</w:t>
      </w:r>
      <w:r>
        <w:rPr>
          <w:rStyle w:val="FootnoteReference"/>
        </w:rPr>
        <w:footnoteReference w:id="130"/>
      </w:r>
      <w:r>
        <w:t xml:space="preserve">. Logiczne więc, że Shift, pozbawiony gotówki „angielski młodszy brat, którego majątek / Składa się z renty i dowcipu”, często używa słowa „najeżdżanie” na określenie swoich prób uwiedzenia Elisy</w:t>
      </w:r>
      <w:r>
        <w:rPr>
          <w:rStyle w:val="FootnoteReference"/>
        </w:rPr>
        <w:footnoteReference w:id="131"/>
      </w:r>
      <w:r>
        <w:t xml:space="preserve">. Widzowie są dopuszczeni do ich rozmów, co obnaża pustkę retoryki męskiego niewolnika miłości i małżeństwa jako słodkiej niewoli, którą ci mężczyźni tak gładko się posługują. Innymi słowy, rekuperacyjny topos zniewolenia miłością, który z powodzeniem działa w wątkach godnych galantów – Friendly’ego i Młodego Goodwita – zostaje bezlitośnie rozszarpany w burleskowym wątku pobocznym sztuki.</w:t>
      </w:r>
    </w:p>
    <w:p>
      <w:pPr>
        <w:pStyle w:val="BodyText"/>
      </w:pPr>
      <w:r>
        <w:t xml:space="preserve">Struktura sztuki otwiera przestrzeń dla krytyki rekuperacyjnych zaangażowań białej supremacji w formy zniewolenia i handlu ludźmi, które w Anglii 1662 roku tak dotkliwie godziły w Romów i Afrykanów subsaharyjskich. W porównaniu z</w:t>
      </w:r>
      <w:r>
        <w:t xml:space="preserve"> </w:t>
      </w:r>
      <w:r>
        <w:rPr>
          <w:i/>
          <w:iCs/>
        </w:rPr>
        <w:t xml:space="preserve">Szelmostwami Skapena</w:t>
      </w:r>
      <w:r>
        <w:t xml:space="preserve"> </w:t>
      </w:r>
      <w:r>
        <w:t xml:space="preserve">ta sztuka bez znanej daty, autora i historii scenicznej znajduje się na przeciwległym krańcu spektrum hierarchii archiwalnych. A jednak wykonuje podobną pracę pojęciową: wykuwa przestrzeń, w której talent białej supremacji do jednoczesnego przedstawiania i wypierania się własnych czynów przez przekierowywanie ich na własne, fałszywie uczynione ofiarą ja staje się widoczny i potencjalnie podatny na krytykę. Wspólne czytanie tych dwóch sztuk, które do dziś dzieliły hierarchie archiwalne oraz silosy językowe i dyscyplinowe, pomaga nam dostrzec w hiperkanonicznej sztuce Moliera to, co w przeciwnym razie zapewne pozostałoby niewidoczne. Trudność w dostrzeganiu rasy bynajmniej nie jest właściwa tylko studiom nad Molierem ani nawet studiom nad francuskim klasycyzmem, wynika bowiem ze skłonności, obecnej w ponadhistorycznych siłach, które ukształtowały kanon wczesnonowożytnego dramatu w ogóle, do faworyzowania sztuk, w których rasa jest potraktowana w sposób dwuznaczny, subtelny lub samozaciemniający. Mniej zatem interesuje mnie napieranie na kanon jako kanon, bardziej zaś oddanie sprawiedliwości dramatom rasowym (tj. większości sztuk), które akurat są kanoniczne – co wymaga czytania ich jako bezpośrednio połączonych z niezliczonymi mniej znanymi tekstowymi komnatami w dynamicznym labiryncie rasowym wczesnonowożytnej europejskiej kultury teatralnej. Hierarchie archiwalne są ściśle dwuwymiarowe; silosy językowe i dyscyplinowe jedynie dzielą. Gdy się od nich uwolnimy – co krytyczne studia nad rasą w epoce wczesnonowożytnej z pewnością uczynią – możemy odnaleźć w archiwach wielowymiarowe tajne przejścia i wykorzystać je do badania ruchomej architektury wczesnonowożytnych formacji rasowych.</w:t>
      </w:r>
    </w:p>
    <w:p>
      <w:pPr>
        <w:pStyle w:val="Heading1"/>
      </w:pPr>
      <w:r>
        <w:t xml:space="preserve">7. ZAKOŃCZENIE: WIDOK Z MIELIZN</w:t>
      </w:r>
    </w:p>
    <w:p>
      <w:pPr>
        <w:pStyle w:val="FirstParagraph"/>
      </w:pPr>
      <w:r>
        <w:t xml:space="preserve">Jedną z największych pułapek pisania o „Cyganach” jest pisanie o romskiej figuracji jako romantycznym symbolu czegoś innego albo przebraniu kogoś innego. Takie praktyki naukowe mimowolnie powielają przemoc epistemologiczną, której poddawani byli rzeczywiści wczesnonowożytni Romowie. Moją ambicją nie było zatem odkrycie „Afrykanina” pod „cygańskim” przebraniem, lecz podkreślenie, jak wczesnonowożytna kultura teatralna – poprzez niekonsekwencje, więzi i performatywne przesunięcia – ujawnia to, co wspólne w białosupremacyjnym traktowaniu europejskich Romów i Afrykanów subsaharyjskich. Postaci romskie często przedstawiano jako powiązane z innymi urasowionymi grupami po to, by jeszcze bardziej je uinnić – na przykład w commedii dell’arte, gdzie, jak wskazuje Erith Jaffe-Berg, idiom postaci „cygańskich” często zawiera słowa hebrajskie i arabskie</w:t>
      </w:r>
      <w:r>
        <w:rPr>
          <w:rStyle w:val="FootnoteReference"/>
        </w:rPr>
        <w:footnoteReference w:id="132"/>
      </w:r>
      <w:r>
        <w:t xml:space="preserve">. Szczególne powiązanie, które wydobyłam na pierwszy plan, między Romami a Afrykanami subsaharyjskimi wyróżnia się jednak swoimi możliwościami krytycznymi, oferuje bowiem genealogię dla sojuszu afroromskiego, cechującego znaczną część badań powstałych w dziedzinie romologii, odkąd od połowy lat 10. XXI wieku dokonał się w niej zwrot krytyczny</w:t>
      </w:r>
      <w:r>
        <w:rPr>
          <w:rStyle w:val="FootnoteReference"/>
        </w:rPr>
        <w:footnoteReference w:id="133"/>
      </w:r>
      <w:r>
        <w:t xml:space="preserve">.</w:t>
      </w:r>
    </w:p>
    <w:p>
      <w:pPr>
        <w:pStyle w:val="BodyText"/>
      </w:pPr>
      <w:r>
        <w:t xml:space="preserve">Sojusz ten przejawia się, gdy socjolożka Ethel C. Brooks, której wymowna wypowiedź otworzyła niniejszy artykuł, przywołuje pojęcie „podwójnej świadomości” W. E. B. Du Boisa, by opisać doświadczenie bycia dziś feministyczną Romni</w:t>
      </w:r>
      <w:r>
        <w:rPr>
          <w:rStyle w:val="FootnoteReference"/>
        </w:rPr>
        <w:footnoteReference w:id="134"/>
      </w:r>
      <w:r>
        <w:t xml:space="preserve">. Gdy literaturoznawczyni zajmująca się wczesną nowożytnością Sydnee Wagner sięga po</w:t>
      </w:r>
      <w:r>
        <w:t xml:space="preserve"> </w:t>
      </w:r>
      <w:r>
        <w:rPr>
          <w:i/>
          <w:iCs/>
        </w:rPr>
        <w:t xml:space="preserve">Laboring Women</w:t>
      </w:r>
      <w:r>
        <w:t xml:space="preserve"> </w:t>
      </w:r>
      <w:r>
        <w:t xml:space="preserve">(Pracujące kobiety, 2004) Jennifer Morgan i porównuje eugeniczne działania sterylizacyjne wymierzone w Romni w kilku krajach europejskich do tych, które w Stanach Zjednoczonych godziły w „kobiety niebiałe, zwłaszcza czarne i rdzenne”</w:t>
      </w:r>
      <w:r>
        <w:rPr>
          <w:rStyle w:val="FootnoteReference"/>
        </w:rPr>
        <w:footnoteReference w:id="135"/>
      </w:r>
      <w:r>
        <w:t xml:space="preserve">. Gdy węgierska romolożka Angéla Kóczé sięga po prace badaczki prawa Bridgette Baldwin dotyczące figury afroamerykańskich tak zwanych „królowych zasiłków”, by zrozumieć mechanizmy urasowienia dotykające Romnia w Europie Środkowo-Wschodniej</w:t>
      </w:r>
      <w:r>
        <w:rPr>
          <w:rStyle w:val="FootnoteReference"/>
        </w:rPr>
        <w:footnoteReference w:id="136"/>
      </w:r>
      <w:r>
        <w:t xml:space="preserve">. Albo gdy działaczka na rzecz praw Romów i badaczka Margareta Matache oraz Cornel West domagają się jednym tchem „reparacji za porównywalne historie zniewolonych ludzi” w Stanach Zjednoczonych, na Karaibach i w Rumunii</w:t>
      </w:r>
      <w:r>
        <w:rPr>
          <w:rStyle w:val="FootnoteReference"/>
        </w:rPr>
        <w:footnoteReference w:id="137"/>
      </w:r>
      <w:r>
        <w:t xml:space="preserve">. Jak zwięźle ujmują to Chang i Rucker-Chang, „badacze od lat przelotnie porównywali Romów i Afroamerykanów, a w ostatniej dekadzie porównanie praw Romów z ruchem praw obywatelskich powraca coraz częściej”</w:t>
      </w:r>
      <w:r>
        <w:rPr>
          <w:rStyle w:val="FootnoteReference"/>
        </w:rPr>
        <w:footnoteReference w:id="138"/>
      </w:r>
      <w:r>
        <w:t xml:space="preserve">. Porównania takie nie ograniczają się do sfery naukowej: istnieją dla Romów w dziedzinie codziennego życia, gdy na przykład w Czechach Romowie nazywają Czechów białymi, a siebie czarnymi, by krytycznie wskazać na niepewność własnego położenia, ponieważ wiedzą, jak relacjonuje socjolog Mathieu Plésiat, że „w innych krajach na zachód stąd ci o najciemniejszej skórze są też najbiedniejsi”</w:t>
      </w:r>
      <w:r>
        <w:rPr>
          <w:rStyle w:val="FootnoteReference"/>
        </w:rPr>
        <w:footnoteReference w:id="139"/>
      </w:r>
      <w:r>
        <w:t xml:space="preserve">.</w:t>
      </w:r>
    </w:p>
    <w:p>
      <w:pPr>
        <w:pStyle w:val="BodyText"/>
      </w:pPr>
      <w:r>
        <w:t xml:space="preserve">W studiach nad czarnością – niezależnie od tego, czy badacze zamykali swoją analizę na formacje rasowe inne niż afrodiasporyczne (jak w niektórych nurtach afropesymizmu), czy przeciwnie, przyjmowali, że część znaczenia projektów czarnej diaspory polega na „ich zdolności do kreślenia czegoś więcej niż czarne tożsamości i ruchy polityczne” (jak ujmuje to Lisa Lowe, parafrazując Robina G. Kelleya)</w:t>
      </w:r>
      <w:r>
        <w:rPr>
          <w:rStyle w:val="FootnoteReference"/>
        </w:rPr>
        <w:footnoteReference w:id="140"/>
      </w:r>
      <w:r>
        <w:t xml:space="preserve"> </w:t>
      </w:r>
      <w:r>
        <w:t xml:space="preserve">– włączanie i wykluczanie odbywało się przeważnie w ramach kolonialności, z oczywistych przyczyn historycznych. A ponieważ wczesnonowożytna romska formacja rasowa, rozgrywająca się w przestrzeni jednoznacznie europejskiej, na pierwszy rzut oka nie wydaje się rozwijać w ramach kolonialności, nie została dotąd uwzględniona w splecionych ujęciach formacji rasowych wypracowanych w studiach nad czarnością. Nawet ujęcia, które starają się połączyć średniowieczne formacje rasowe Europy z czarnymi formacjami rasowymi, jak</w:t>
      </w:r>
      <w:r>
        <w:t xml:space="preserve"> </w:t>
      </w:r>
      <w:r>
        <w:rPr>
          <w:i/>
          <w:iCs/>
        </w:rPr>
        <w:t xml:space="preserve">Black Marxism</w:t>
      </w:r>
      <w:r>
        <w:t xml:space="preserve"> </w:t>
      </w:r>
      <w:r>
        <w:t xml:space="preserve">(Czarny marksizm) Cedrica Robinsona, nie liczą się z ludźmi romskimi</w:t>
      </w:r>
      <w:r>
        <w:rPr>
          <w:rStyle w:val="FootnoteReference"/>
        </w:rPr>
        <w:footnoteReference w:id="141"/>
      </w:r>
      <w:r>
        <w:t xml:space="preserve">. Wobec znaczenia ram teoretycznych studiów nad czarnością dla krytycznych badaczy romskich nadszedł czas, by wypełnić tę lukę.</w:t>
      </w:r>
    </w:p>
    <w:p>
      <w:pPr>
        <w:pStyle w:val="BodyText"/>
      </w:pPr>
      <w:r>
        <w:t xml:space="preserve">Na zakończenie niniejszego artykułu pragnę zatem rozciągnąć na powiązania afroromskie model teoretyczny, który Tiffany Lethabo King przekonująco nazywa „czarnymi mieliznami” (</w:t>
      </w:r>
      <w:r>
        <w:rPr>
          <w:i/>
          <w:iCs/>
        </w:rPr>
        <w:t xml:space="preserve">Black shoals</w:t>
      </w:r>
      <w:r>
        <w:t xml:space="preserve">). Aby połączyć studia nad czarnością i studia rdzennoamerykańskie, King posługuje się bowiem metaforą mielizn jako przestrzeni „liminalności, nieokreśloności i miejsc zszycia między dwiema ramami hermeneutycznymi, które konwencjonalnie rozumiano jako od siebie odcięte”</w:t>
      </w:r>
      <w:r>
        <w:rPr>
          <w:rStyle w:val="FootnoteReference"/>
        </w:rPr>
        <w:footnoteReference w:id="142"/>
      </w:r>
      <w:r>
        <w:t xml:space="preserve">. Według niej</w:t>
      </w:r>
    </w:p>
    <w:p>
      <w:pPr>
        <w:pStyle w:val="BlockText"/>
      </w:pPr>
      <w:r>
        <w:t xml:space="preserve">czarna mielizna jest z pewnością momentem tarcia i wytwarzania nowej topografii.</w:t>
      </w:r>
      <w:r>
        <w:t xml:space="preserve"> </w:t>
      </w:r>
      <w:r>
        <w:rPr>
          <w:i/>
          <w:iCs/>
        </w:rPr>
        <w:t xml:space="preserve">The Black Shoals</w:t>
      </w:r>
      <w:r>
        <w:t xml:space="preserve">, jako miejsce analityczne i metodologiczne, stanowi moment zbieżności, gromadzenia się, ponownego składania i schodzenia się (lub rozchodzenia). Mielizna, podobnie jak myśl czarna, jest miejscem, gdzie pęd i prędkość jako normalne wektory zostają zahamowane. Jest miejscem, gdzie trzeba dokonać korekty. Jako przestrzeń pośrednia, ekotonowa, nieoczekiwana i zmienna, mielizna wymaga nowego oparcia dla stóp, innych akordów ucieleśnionych rytmów i nowych narzędzi pojęciowych, by poruszać się po jej terenie.</w:t>
      </w:r>
    </w:p>
    <w:p>
      <w:pPr>
        <w:pStyle w:val="FirstParagraph"/>
      </w:pPr>
      <w:r>
        <w:t xml:space="preserve">Czytać archiwum afroromskich przesunięć we wczesnonowożytnym dramacie zachodnioeuropejskim z perspektywy czarnych mielizn – jak próbowałam to czynić w niniejszym artykule – to zwolnić, zwracać nadzwyczajną uwagę nawet na najdrobniejsze znaki, potknięcia, teksty czy przesunięcia w archiwum i nanosić poprawki na mapy matrycy rasowej, które sądziliśmy, że znamy. Jeśli bowiem, jak ujmuje to King, każda „mielizna może z czasem ulec erozji, dryfować i ostatecznie nagromadzić się w innym miejscu”, to afroromska mielizna odtwarza się właśnie na naszych oczach</w:t>
      </w:r>
      <w:r>
        <w:rPr>
          <w:rStyle w:val="FootnoteReference"/>
        </w:rPr>
        <w:footnoteReference w:id="143"/>
      </w:r>
      <w:r>
        <w:t xml:space="preserv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comment w:id="1" w:author="SROM" w:date="2026-01-01T00:00:00Z">
    <w:p>
      <w:pPr>
        <w:pStyle w:val="CommentText"/>
      </w:pPr>
      <w:r>
        <w:rPr>
          <w:rStyle w:val="CommentReference"/>
        </w:rPr>
        <w:annotationRef/>
      </w:r>
      <w:r>
        <w:t xml:space="preserve">DO SPRAWDZENIA: S1 – cytat z Chorego z urojenia w przekładzie Boya (tekst niedostępny w Wolnych Lekturach; tu przekład roboczy z francuskiego), strona wydania polskiego</w:t>
      </w:r>
    </w:p>
  </w:comment>
  <w:comment w:id="2" w:author="SROM" w:date="2026-01-01T00:00:00Z">
    <w:p>
      <w:pPr>
        <w:pStyle w:val="CommentText"/>
      </w:pPr>
      <w:r>
        <w:rPr>
          <w:rStyle w:val="CommentReference"/>
        </w:rPr>
        <w:annotationRef/>
      </w:r>
      <w:r>
        <w:t xml:space="preserve">DO SPRAWDZENIA: S2 – strona wydania polskiego (Szelmostwa Skapena, akt III: „bandy Cyganów, z tych, co to wałęsając się…”)</w:t>
      </w:r>
    </w:p>
  </w:comment>
  <w:comment w:id="3" w:author="SROM" w:date="2026-01-01T00:00:00Z">
    <w:p>
      <w:pPr>
        <w:pStyle w:val="CommentText"/>
      </w:pPr>
      <w:r>
        <w:rPr>
          <w:rStyle w:val="CommentReference"/>
        </w:rPr>
        <w:annotationRef/>
      </w:r>
      <w:r>
        <w:t xml:space="preserve">DO SPRAWDZENIA: S3 – strona wydania polskiego (akt I: „małe nieporozumienie”, „Bardzo się brzydko obszedł ze mną”)</w:t>
      </w:r>
    </w:p>
  </w:comment>
  <w:comment w:id="4" w:author="SROM" w:date="2026-01-01T00:00:00Z">
    <w:p>
      <w:pPr>
        <w:pStyle w:val="CommentText"/>
      </w:pPr>
      <w:r>
        <w:rPr>
          <w:rStyle w:val="CommentReference"/>
        </w:rPr>
        <w:annotationRef/>
      </w:r>
      <w:r>
        <w:t xml:space="preserve">DO SPRAWDZENIA: S4 – strona wydania polskiego (akt I: „trzy lata galer mniej czy więcej…”)</w:t>
      </w:r>
    </w:p>
  </w:comment>
  <w:comment w:id="5" w:author="SROM" w:date="2026-01-01T00:00:00Z">
    <w:p>
      <w:pPr>
        <w:pStyle w:val="CommentText"/>
      </w:pPr>
      <w:r>
        <w:rPr>
          <w:rStyle w:val="CommentReference"/>
        </w:rPr>
        <w:annotationRef/>
      </w:r>
      <w:r>
        <w:t xml:space="preserve">DO SPRAWDZENIA: S5 – strona wydania polskiego (akt III, scena z workiem)</w:t>
      </w:r>
    </w:p>
  </w:comment>
  <w:comment w:id="6" w:author="SROM" w:date="2026-01-01T00:00:00Z">
    <w:p>
      <w:pPr>
        <w:pStyle w:val="CommentText"/>
      </w:pPr>
      <w:r>
        <w:rPr>
          <w:rStyle w:val="CommentReference"/>
        </w:rPr>
        <w:annotationRef/>
      </w:r>
      <w:r>
        <w:t xml:space="preserve">DO SPRAWDZENIA: S6 – strona wydania polskiego (akt II, Skapen do Leandra)</w:t>
      </w:r>
    </w:p>
  </w:comment>
  <w:comment w:id="7" w:author="SROM" w:date="2026-01-01T00:00:00Z">
    <w:p>
      <w:pPr>
        <w:pStyle w:val="CommentText"/>
      </w:pPr>
      <w:r>
        <w:rPr>
          <w:rStyle w:val="CommentReference"/>
        </w:rPr>
        <w:annotationRef/>
      </w:r>
      <w:r>
        <w:t xml:space="preserve">DO SPRAWDZENIA: S7 – cytat z Cathy Park Hong według wydania polskiego (Pomniejsze uczucia, tłum. A. Zano, 2024): brzmienie i strona; tu przekład roboczy z angielskiego</w:t>
      </w:r>
    </w:p>
  </w:comment>
</w:comments>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Termin</w:t>
      </w:r>
      <w:r>
        <w:t xml:space="preserve"> </w:t>
      </w:r>
      <w:r>
        <w:rPr>
          <w:i/>
          <w:iCs/>
        </w:rPr>
        <w:t xml:space="preserve">Gypsy</w:t>
      </w:r>
      <w:r>
        <w:t xml:space="preserve"> </w:t>
      </w:r>
      <w:r>
        <w:t xml:space="preserve">jest obelgą rasową. W niniejszym artykule idę za Ethel C. Brooks i używam „słów z języka romskiego: Romni (rzeczownik rodzaju żeńskiego w liczbie pojedynczej), Rom (rzeczownik rodzaju męskiego w liczbie pojedynczej), Roma (rzeczownik rodzaju męskiego w liczbie mnogiej), Romnia (rzeczownik rodzaju żeńskiego w liczbie mnogiej) i Romani (przymiotnik). […] Mówiąc o ludziach nieromskich, będziemy używać romskich słów oznaczających nie-Romów – zapisywanych i wymawianych rozmaicie w różnych transliteracjach i dialektach:</w:t>
      </w:r>
      <w:r>
        <w:t xml:space="preserve"> </w:t>
      </w:r>
      <w:r>
        <w:rPr>
          <w:i/>
          <w:iCs/>
        </w:rPr>
        <w:t xml:space="preserve">gadji</w:t>
      </w:r>
      <w:r>
        <w:t xml:space="preserve"> </w:t>
      </w:r>
      <w:r>
        <w:t xml:space="preserve">/</w:t>
      </w:r>
      <w:r>
        <w:t xml:space="preserve"> </w:t>
      </w:r>
      <w:r>
        <w:rPr>
          <w:i/>
          <w:iCs/>
        </w:rPr>
        <w:t xml:space="preserve">gadži</w:t>
      </w:r>
      <w:r>
        <w:t xml:space="preserve"> </w:t>
      </w:r>
      <w:r>
        <w:t xml:space="preserve">/</w:t>
      </w:r>
      <w:r>
        <w:t xml:space="preserve"> </w:t>
      </w:r>
      <w:r>
        <w:rPr>
          <w:i/>
          <w:iCs/>
        </w:rPr>
        <w:t xml:space="preserve">gorgi</w:t>
      </w:r>
      <w:r>
        <w:t xml:space="preserve"> </w:t>
      </w:r>
      <w:r>
        <w:t xml:space="preserve">(rzeczownik rodzaju żeńskiego w liczbie pojedynczej),</w:t>
      </w:r>
      <w:r>
        <w:t xml:space="preserve"> </w:t>
      </w:r>
      <w:r>
        <w:rPr>
          <w:i/>
          <w:iCs/>
        </w:rPr>
        <w:t xml:space="preserve">gadjo</w:t>
      </w:r>
      <w:r>
        <w:t xml:space="preserve"> </w:t>
      </w:r>
      <w:r>
        <w:t xml:space="preserve">/</w:t>
      </w:r>
      <w:r>
        <w:t xml:space="preserve"> </w:t>
      </w:r>
      <w:r>
        <w:rPr>
          <w:i/>
          <w:iCs/>
        </w:rPr>
        <w:t xml:space="preserve">gadžo</w:t>
      </w:r>
      <w:r>
        <w:t xml:space="preserve"> </w:t>
      </w:r>
      <w:r>
        <w:t xml:space="preserve">/</w:t>
      </w:r>
      <w:r>
        <w:t xml:space="preserve"> </w:t>
      </w:r>
      <w:r>
        <w:rPr>
          <w:i/>
          <w:iCs/>
        </w:rPr>
        <w:t xml:space="preserve">gorgia</w:t>
      </w:r>
      <w:r>
        <w:t xml:space="preserve"> </w:t>
      </w:r>
      <w:r>
        <w:t xml:space="preserve">(rzeczownik rodzaju męskiego w liczbie pojedynczej),</w:t>
      </w:r>
      <w:r>
        <w:t xml:space="preserve"> </w:t>
      </w:r>
      <w:r>
        <w:rPr>
          <w:i/>
          <w:iCs/>
        </w:rPr>
        <w:t xml:space="preserve">gadje</w:t>
      </w:r>
      <w:r>
        <w:t xml:space="preserve"> </w:t>
      </w:r>
      <w:r>
        <w:t xml:space="preserve">/</w:t>
      </w:r>
      <w:r>
        <w:t xml:space="preserve"> </w:t>
      </w:r>
      <w:r>
        <w:rPr>
          <w:i/>
          <w:iCs/>
        </w:rPr>
        <w:t xml:space="preserve">gadže</w:t>
      </w:r>
      <w:r>
        <w:t xml:space="preserve"> </w:t>
      </w:r>
      <w:r>
        <w:t xml:space="preserve">/</w:t>
      </w:r>
      <w:r>
        <w:t xml:space="preserve"> </w:t>
      </w:r>
      <w:r>
        <w:rPr>
          <w:i/>
          <w:iCs/>
        </w:rPr>
        <w:t xml:space="preserve">gorgias</w:t>
      </w:r>
      <w:r>
        <w:t xml:space="preserve"> </w:t>
      </w:r>
      <w:r>
        <w:t xml:space="preserve">(rzeczownik rodzaju męskiego w liczbie mnogiej). Wszystkie te terminy mogą w innych publikacjach występować w odmiennej pisowni; ponieważ romani/romanes (język) był (i często nadal jest) językiem oralnym, istnieje wiele wariantów jego transliteracji”:</w:t>
      </w:r>
      <w:r>
        <w:t xml:space="preserve"> </w:t>
      </w:r>
      <w:r>
        <w:t xml:space="preserve">[@brooks2012, s. 2]</w:t>
      </w:r>
      <w:r>
        <w:t xml:space="preserve">. [W przekładzie: Rom, Romni, Romnia oraz Gadjo, Gadji, Gadje – jak u autorki; Roma – „Romowie”;</w:t>
      </w:r>
      <w:r>
        <w:t xml:space="preserve"> </w:t>
      </w:r>
      <w:r>
        <w:rPr>
          <w:i/>
          <w:iCs/>
        </w:rPr>
        <w:t xml:space="preserve">Gypsy</w:t>
      </w:r>
      <w:r>
        <w:t xml:space="preserve"> </w:t>
      </w:r>
      <w:r>
        <w:t xml:space="preserve">– „Cygan”, „Cyganie”, w cudzysłowie tam, gdzie ujmuje je autorka – przyp. tłum.]</w:t>
      </w:r>
    </w:p>
  </w:footnote>
  <w:footnote w:id="10">
    <w:p>
      <w:pPr>
        <w:pStyle w:val="FootnoteText"/>
      </w:pPr>
      <w:r>
        <w:rPr>
          <w:rStyle w:val="FootnoteReference"/>
        </w:rPr>
        <w:footnoteRef/>
      </w:r>
      <w:r>
        <w:t xml:space="preserve"> </w:t>
      </w:r>
      <w:r>
        <w:t xml:space="preserve">[@hornback2018, s. 35–69]</w:t>
      </w:r>
      <w:r>
        <w:t xml:space="preserve">.</w:t>
      </w:r>
    </w:p>
  </w:footnote>
  <w:footnote w:id="11">
    <w:p>
      <w:pPr>
        <w:pStyle w:val="FootnoteText"/>
      </w:pPr>
      <w:r>
        <w:rPr>
          <w:rStyle w:val="FootnoteReference"/>
        </w:rPr>
        <w:footnoteRef/>
      </w:r>
      <w:r>
        <w:t xml:space="preserve"> </w:t>
      </w:r>
      <w:r>
        <w:t xml:space="preserve">Ethel C. Brooks jest profesorką nadzwyczajną (Associate Professor) w Departments of Women’s and Gender Studies and Sociology na Rutgers University. Jest autorką książki</w:t>
      </w:r>
      <w:r>
        <w:t xml:space="preserve"> </w:t>
      </w:r>
      <w:r>
        <w:rPr>
          <w:i/>
          <w:iCs/>
        </w:rPr>
        <w:t xml:space="preserve">Unraveling the Garment Industry: Transnational Organizing and Women’s Work</w:t>
      </w:r>
      <w:r>
        <w:t xml:space="preserve"> </w:t>
      </w:r>
      <w:r>
        <w:t xml:space="preserve">(Minneapolis: University of Minnesota Press, 2007). Obecnie pracuje nad dwiema książkami:</w:t>
      </w:r>
      <w:r>
        <w:t xml:space="preserve"> </w:t>
      </w:r>
      <w:r>
        <w:rPr>
          <w:i/>
          <w:iCs/>
        </w:rPr>
        <w:t xml:space="preserve">Disrupting the Nation: Land Tenure, Productivity and the Possibilities of a Romani Post-Coloniality</w:t>
      </w:r>
      <w:r>
        <w:t xml:space="preserve"> </w:t>
      </w:r>
      <w:r>
        <w:t xml:space="preserve">oraz</w:t>
      </w:r>
      <w:r>
        <w:t xml:space="preserve"> </w:t>
      </w:r>
      <w:r>
        <w:rPr>
          <w:i/>
          <w:iCs/>
        </w:rPr>
        <w:t xml:space="preserve">(Mis)Recognitions and (Un)Acknowledgements: Visualities, Productivities and the Contours of Romani Feminism</w:t>
      </w:r>
      <w:r>
        <w:t xml:space="preserve">, poświęconymi ekonomii politycznej i produkcji kulturowej oraz narastającej na całym świecie przemocy wobec romskich obywateli. W 2016 roku prezydent Obama powołał ją do Holocaust Memorial Council (Rady Pamięci Holokaustu).</w:t>
      </w:r>
    </w:p>
  </w:footnote>
  <w:footnote w:id="12">
    <w:p>
      <w:pPr>
        <w:pStyle w:val="FootnoteText"/>
      </w:pPr>
      <w:r>
        <w:rPr>
          <w:rStyle w:val="FootnoteReference"/>
        </w:rPr>
        <w:footnoteRef/>
      </w:r>
      <w:r>
        <w:t xml:space="preserve"> </w:t>
      </w:r>
      <w:r>
        <w:t xml:space="preserve">Fragment prywatnego wywiadu przeprowadzonego 8 marca 2020 roku.</w:t>
      </w:r>
    </w:p>
  </w:footnote>
  <w:footnote w:id="13">
    <w:p>
      <w:pPr>
        <w:pStyle w:val="FootnoteText"/>
      </w:pPr>
      <w:r>
        <w:rPr>
          <w:rStyle w:val="FootnoteReference"/>
        </w:rPr>
        <w:footnoteRef/>
      </w:r>
      <w:r>
        <w:t xml:space="preserve"> </w:t>
      </w:r>
      <w:r>
        <w:t xml:space="preserve">W</w:t>
      </w:r>
      <w:r>
        <w:t xml:space="preserve"> </w:t>
      </w:r>
      <w:r>
        <w:t xml:space="preserve">[@ndiaye2022]</w:t>
      </w:r>
      <w:r>
        <w:t xml:space="preserve"> </w:t>
      </w:r>
      <w:r>
        <w:t xml:space="preserve">badam skrypty czarności, które kształtowały hermeneutyczną recepcję</w:t>
      </w:r>
      <w:r>
        <w:t xml:space="preserve"> </w:t>
      </w:r>
      <w:r>
        <w:rPr>
          <w:i/>
          <w:iCs/>
        </w:rPr>
        <w:t xml:space="preserve">black-upu</w:t>
      </w:r>
      <w:r>
        <w:t xml:space="preserve"> </w:t>
      </w:r>
      <w:r>
        <w:t xml:space="preserve">stosowanego do postaci afrykańskich, i dowodzę, że choć techniki charakteryzacji używane do ich przedstawiania często przypominały te stosowane przy postaciach romskich, skrypty te były właściwe tej właśnie grupie.</w:t>
      </w:r>
    </w:p>
  </w:footnote>
  <w:footnote w:id="14">
    <w:p>
      <w:pPr>
        <w:pStyle w:val="FootnoteText"/>
      </w:pPr>
      <w:r>
        <w:rPr>
          <w:rStyle w:val="FootnoteReference"/>
        </w:rPr>
        <w:footnoteRef/>
      </w:r>
      <w:r>
        <w:t xml:space="preserve"> </w:t>
      </w:r>
      <w:r>
        <w:t xml:space="preserve">[@chang2020, s. 158]</w:t>
      </w:r>
      <w:r>
        <w:t xml:space="preserve">.</w:t>
      </w:r>
    </w:p>
  </w:footnote>
  <w:footnote w:id="15">
    <w:p>
      <w:pPr>
        <w:pStyle w:val="FootnoteText"/>
      </w:pPr>
      <w:r>
        <w:rPr>
          <w:rStyle w:val="FootnoteReference"/>
        </w:rPr>
        <w:footnoteRef/>
      </w:r>
      <w:r>
        <w:t xml:space="preserve"> </w:t>
      </w:r>
      <w:r>
        <w:t xml:space="preserve">[@chang2020, s. 23–24]</w:t>
      </w:r>
      <w:r>
        <w:t xml:space="preserve">. Zob. też</w:t>
      </w:r>
      <w:r>
        <w:t xml:space="preserve"> </w:t>
      </w:r>
      <w:r>
        <w:t xml:space="preserve">[@matras2014, s. 131]</w:t>
      </w:r>
      <w:r>
        <w:t xml:space="preserve">.</w:t>
      </w:r>
    </w:p>
  </w:footnote>
  <w:footnote w:id="16">
    <w:p>
      <w:pPr>
        <w:pStyle w:val="FootnoteText"/>
      </w:pPr>
      <w:r>
        <w:rPr>
          <w:rStyle w:val="FootnoteReference"/>
        </w:rPr>
        <w:footnoteRef/>
      </w:r>
      <w:r>
        <w:t xml:space="preserve"> </w:t>
      </w:r>
      <w:r>
        <w:t xml:space="preserve">[@matras2014, s. 19]</w:t>
      </w:r>
      <w:r>
        <w:t xml:space="preserve">.</w:t>
      </w:r>
    </w:p>
  </w:footnote>
  <w:footnote w:id="17">
    <w:p>
      <w:pPr>
        <w:pStyle w:val="FootnoteText"/>
      </w:pPr>
      <w:r>
        <w:rPr>
          <w:rStyle w:val="FootnoteReference"/>
        </w:rPr>
        <w:footnoteRef/>
      </w:r>
      <w:r>
        <w:t xml:space="preserve"> </w:t>
      </w:r>
      <w:r>
        <w:t xml:space="preserve">Wnikliwe omówienie tej synonimii zob.</w:t>
      </w:r>
      <w:r>
        <w:t xml:space="preserve"> </w:t>
      </w:r>
      <w:r>
        <w:t xml:space="preserve">[@framolinero1995]</w:t>
      </w:r>
      <w:r>
        <w:t xml:space="preserve">.</w:t>
      </w:r>
    </w:p>
  </w:footnote>
  <w:footnote w:id="18">
    <w:p>
      <w:pPr>
        <w:pStyle w:val="FootnoteText"/>
      </w:pPr>
      <w:r>
        <w:rPr>
          <w:rStyle w:val="FootnoteReference"/>
        </w:rPr>
        <w:footnoteRef/>
      </w:r>
      <w:r>
        <w:t xml:space="preserve"> </w:t>
      </w:r>
      <w:r>
        <w:t xml:space="preserve">[@chang2020, s. 24]</w:t>
      </w:r>
      <w:r>
        <w:t xml:space="preserve">.</w:t>
      </w:r>
    </w:p>
  </w:footnote>
  <w:footnote w:id="19">
    <w:p>
      <w:pPr>
        <w:pStyle w:val="FootnoteText"/>
      </w:pPr>
      <w:r>
        <w:rPr>
          <w:rStyle w:val="FootnoteReference"/>
        </w:rPr>
        <w:footnoteRef/>
      </w:r>
      <w:r>
        <w:t xml:space="preserve"> </w:t>
      </w:r>
      <w:r>
        <w:t xml:space="preserve">[@touambona2016, s. 23]</w:t>
      </w:r>
      <w:r>
        <w:t xml:space="preserve">.</w:t>
      </w:r>
    </w:p>
  </w:footnote>
  <w:footnote w:id="20">
    <w:p>
      <w:pPr>
        <w:pStyle w:val="FootnoteText"/>
      </w:pPr>
      <w:r>
        <w:rPr>
          <w:rStyle w:val="FootnoteReference"/>
        </w:rPr>
        <w:footnoteRef/>
      </w:r>
      <w:r>
        <w:t xml:space="preserve"> </w:t>
      </w:r>
      <w:r>
        <w:t xml:space="preserve">[@mejialaperle2017, s. 233]</w:t>
      </w:r>
      <w:r>
        <w:t xml:space="preserve">.</w:t>
      </w:r>
    </w:p>
  </w:footnote>
  <w:footnote w:id="21">
    <w:p>
      <w:pPr>
        <w:pStyle w:val="FootnoteText"/>
      </w:pPr>
      <w:r>
        <w:rPr>
          <w:rStyle w:val="FootnoteReference"/>
        </w:rPr>
        <w:footnoteRef/>
      </w:r>
      <w:r>
        <w:t xml:space="preserve"> </w:t>
      </w:r>
      <w:r>
        <w:t xml:space="preserve">[@wagner2019]</w:t>
      </w:r>
      <w:r>
        <w:t xml:space="preserve">.</w:t>
      </w:r>
    </w:p>
  </w:footnote>
  <w:footnote w:id="22">
    <w:p>
      <w:pPr>
        <w:pStyle w:val="FootnoteText"/>
      </w:pPr>
      <w:r>
        <w:rPr>
          <w:rStyle w:val="FootnoteReference"/>
        </w:rPr>
        <w:footnoteRef/>
      </w:r>
      <w:r>
        <w:t xml:space="preserve"> </w:t>
      </w:r>
      <w:r>
        <w:t xml:space="preserve">[@asseo1974, s. 40]</w:t>
      </w:r>
      <w:r>
        <w:t xml:space="preserve">. „L’État du XVIIe siècle semble un État de transition cherchant à surajouter à son mode répressif habituel une fonction coercitive plus adéquate à la naissance du capitalisme. L’emploi des vagabonds et par conséquent des Bohémiens dans la production par le processus du ‘grand renfermement’ entre dans cette évolution”. O ile nie wskazano inaczej, przekłady z francuskiego na angielski są mojego autorstwa. [W przekładzie polskim cytaty francuskie przełożono z oryginałów przytoczonych w przypisach; „wielkie zamknięcie” – termin Michela Foucaulta, w przekładzie polskim „Wielkie Zamknięcie”: M. Foucault,</w:t>
      </w:r>
      <w:r>
        <w:t xml:space="preserve"> </w:t>
      </w:r>
      <w:r>
        <w:rPr>
          <w:i/>
          <w:iCs/>
        </w:rPr>
        <w:t xml:space="preserve">Historia szaleństwa w dobie klasycyzmu</w:t>
      </w:r>
      <w:r>
        <w:t xml:space="preserve">, tłum. H. Kęszycka, PIW, Warszawa 1987 – przyp. tłum.]</w:t>
      </w:r>
    </w:p>
  </w:footnote>
  <w:footnote w:id="23">
    <w:p>
      <w:pPr>
        <w:pStyle w:val="FootnoteText"/>
      </w:pPr>
      <w:r>
        <w:rPr>
          <w:rStyle w:val="FootnoteReference"/>
        </w:rPr>
        <w:footnoteRef/>
      </w:r>
      <w:r>
        <w:t xml:space="preserve"> </w:t>
      </w:r>
      <w:r>
        <w:t xml:space="preserve">Charles Mills definiuje białą supremację jako „system polityczny, szczególną strukturę władzy – formalnych lub nieformalnych rządów, przywilejów społeczno-ekonomicznych i norm zróżnicowanego podziału bogactwa materialnego i szans, korzyści i obciążeń, praw i obowiązków”:</w:t>
      </w:r>
      <w:r>
        <w:t xml:space="preserve"> </w:t>
      </w:r>
      <w:r>
        <w:t xml:space="preserve">[@mills1997, s. 3]</w:t>
      </w:r>
    </w:p>
  </w:footnote>
  <w:footnote w:id="24">
    <w:p>
      <w:pPr>
        <w:pStyle w:val="FootnoteText"/>
      </w:pPr>
      <w:r>
        <w:rPr>
          <w:rStyle w:val="FootnoteReference"/>
        </w:rPr>
        <w:footnoteRef/>
      </w:r>
      <w:r>
        <w:t xml:space="preserve"> </w:t>
      </w:r>
      <w:r>
        <w:t xml:space="preserve">Wśród literaturoznawców zajmujących się Romami w epoce Tudorów są m.in. Carol Mejia-LaPerle, Sydnee Wagner, Mark Netzloff, Nora Galland i Bryan Reynolds.</w:t>
      </w:r>
    </w:p>
  </w:footnote>
  <w:footnote w:id="25">
    <w:p>
      <w:pPr>
        <w:pStyle w:val="FootnoteText"/>
      </w:pPr>
      <w:r>
        <w:rPr>
          <w:rStyle w:val="FootnoteReference"/>
        </w:rPr>
        <w:footnoteRef/>
      </w:r>
      <w:r>
        <w:t xml:space="preserve"> </w:t>
      </w:r>
      <w:r>
        <w:t xml:space="preserve">[@pasquier1621, s. 392]</w:t>
      </w:r>
      <w:r>
        <w:t xml:space="preserve">: „Que les aucuns nomment Aegyptiens, les autres Bohémiens”.</w:t>
      </w:r>
    </w:p>
  </w:footnote>
  <w:footnote w:id="26">
    <w:p>
      <w:pPr>
        <w:pStyle w:val="FootnoteText"/>
      </w:pPr>
      <w:r>
        <w:rPr>
          <w:rStyle w:val="FootnoteReference"/>
        </w:rPr>
        <w:footnoteRef/>
      </w:r>
      <w:r>
        <w:t xml:space="preserve"> </w:t>
      </w:r>
      <w:r>
        <w:t xml:space="preserve">[@pasquier1621, s. 393]</w:t>
      </w:r>
      <w:r>
        <w:t xml:space="preserve">. Choć wyrażenie „Mały Egipt”, używane w wielu innych źródłach wczesnonowożytnych, rozumie się często jako odnoszące się do jakiejś części Egiptu, niektórzy romolodzy, jak Yaron Matras, uznają je za nazwę portu Modon na Peloponezie w Grecji, który był „ważną stacją na szlaku morskim z Wenecji do Jafy, a pielgrzymi zmierzający do Ziemi Świętej zatrzymywali się w nim po drodze”:</w:t>
      </w:r>
      <w:r>
        <w:t xml:space="preserve"> </w:t>
      </w:r>
      <w:r>
        <w:t xml:space="preserve">[@matras2014, s. 136–137]</w:t>
      </w:r>
      <w:r>
        <w:t xml:space="preserve">.</w:t>
      </w:r>
    </w:p>
  </w:footnote>
  <w:footnote w:id="27">
    <w:p>
      <w:pPr>
        <w:pStyle w:val="FootnoteText"/>
      </w:pPr>
      <w:r>
        <w:rPr>
          <w:rStyle w:val="FootnoteReference"/>
        </w:rPr>
        <w:footnoteRef/>
      </w:r>
      <w:r>
        <w:t xml:space="preserve"> </w:t>
      </w:r>
      <w:r>
        <w:t xml:space="preserve">[@davity1660, s. 392]</w:t>
      </w:r>
      <w:r>
        <w:t xml:space="preserve">: „Ces Nubiens, qui estans chassez par les soudans d’Egypte, traversèrent la Palestine, la Surie, l’Anatolie en habit de mendiants, et ayant passé l’Hellespont se débordèrent par la Thrace et par les pays d’autour du Danube”.</w:t>
      </w:r>
    </w:p>
  </w:footnote>
  <w:footnote w:id="28">
    <w:p>
      <w:pPr>
        <w:pStyle w:val="FootnoteText"/>
      </w:pPr>
      <w:r>
        <w:rPr>
          <w:rStyle w:val="FootnoteReference"/>
        </w:rPr>
        <w:footnoteRef/>
      </w:r>
      <w:r>
        <w:t xml:space="preserve"> </w:t>
      </w:r>
      <w:r>
        <w:t xml:space="preserve">[@montluc1654, s. 83]</w:t>
      </w:r>
      <w:r>
        <w:t xml:space="preserve">: „Je me veux esbaudir avec cette petite barbouillée”.</w:t>
      </w:r>
    </w:p>
  </w:footnote>
  <w:footnote w:id="29">
    <w:p>
      <w:pPr>
        <w:pStyle w:val="FootnoteText"/>
      </w:pPr>
      <w:r>
        <w:rPr>
          <w:rStyle w:val="FootnoteReference"/>
        </w:rPr>
        <w:footnoteRef/>
      </w:r>
      <w:r>
        <w:t xml:space="preserve"> </w:t>
      </w:r>
      <w:r>
        <w:t xml:space="preserve">[@montluc1654, s. 64]</w:t>
      </w:r>
      <w:r>
        <w:t xml:space="preserve">: „Lydias: Florinde, au compte de ces garçons, tu passeras pour une bourgeoise du Nil ou d’Arger. Florinde: Et toi, Lydias, pour un pèlerin de la Mecque”.</w:t>
      </w:r>
    </w:p>
  </w:footnote>
  <w:footnote w:id="30">
    <w:p>
      <w:pPr>
        <w:pStyle w:val="FootnoteText"/>
      </w:pPr>
      <w:r>
        <w:rPr>
          <w:rStyle w:val="FootnoteReference"/>
        </w:rPr>
        <w:footnoteRef/>
      </w:r>
      <w:r>
        <w:t xml:space="preserve"> </w:t>
      </w:r>
      <w:r>
        <w:t xml:space="preserve">[@pasquier1621, s. 393]</w:t>
      </w:r>
      <w:r>
        <w:t xml:space="preserve">: „Les hommes estoient très noirs, les cheveux crespez, les plus laides femmes que l’on peut voir, et les plus noires”.</w:t>
      </w:r>
    </w:p>
  </w:footnote>
  <w:footnote w:id="31">
    <w:p>
      <w:pPr>
        <w:pStyle w:val="FootnoteText"/>
      </w:pPr>
      <w:r>
        <w:rPr>
          <w:rStyle w:val="FootnoteReference"/>
        </w:rPr>
        <w:footnoteRef/>
      </w:r>
      <w:r>
        <w:t xml:space="preserve"> </w:t>
      </w:r>
      <w:r>
        <w:t xml:space="preserve">[@krantz1520, {ks. 11, rozdz. 2}]</w:t>
      </w:r>
      <w:r>
        <w:t xml:space="preserve">: „Homines nigredines informes, excocti sole”.</w:t>
      </w:r>
    </w:p>
  </w:footnote>
  <w:footnote w:id="32">
    <w:p>
      <w:pPr>
        <w:pStyle w:val="FootnoteText"/>
      </w:pPr>
      <w:r>
        <w:rPr>
          <w:rStyle w:val="FootnoteReference"/>
        </w:rPr>
        <w:footnoteRef/>
      </w:r>
      <w:r>
        <w:t xml:space="preserve"> </w:t>
      </w:r>
      <w:r>
        <w:t xml:space="preserve">[@scudery1649, s. 59]</w:t>
      </w:r>
      <w:r>
        <w:t xml:space="preserve">: „Sombre divinité, de qui la splendeur noire / Brille de feux obscurs qui peuvent tout brusler: / La neige n’a plus rien, qui te puisse égaller / Et l’ébène aujourd’huy, l’emporte sur l’ivoire. / De ton obscurité vient l’esclat de ta gloire; / Et ie voy dans tes yeux, dont je n’ose parler, / Un Amour affricain, qui s’apprête à voller”.</w:t>
      </w:r>
    </w:p>
  </w:footnote>
  <w:footnote w:id="33">
    <w:p>
      <w:pPr>
        <w:pStyle w:val="FootnoteText"/>
      </w:pPr>
      <w:r>
        <w:rPr>
          <w:rStyle w:val="FootnoteReference"/>
        </w:rPr>
        <w:footnoteRef/>
      </w:r>
      <w:r>
        <w:t xml:space="preserve"> </w:t>
      </w:r>
      <w:r>
        <w:t xml:space="preserve">[@chevreau1656, s. 24]</w:t>
      </w:r>
      <w:r>
        <w:t xml:space="preserve">: „Et tu prouves bien que les Graces / Ne sont pas loin des Abyssins”.</w:t>
      </w:r>
    </w:p>
  </w:footnote>
  <w:footnote w:id="34">
    <w:p>
      <w:pPr>
        <w:pStyle w:val="FootnoteText"/>
      </w:pPr>
      <w:r>
        <w:rPr>
          <w:rStyle w:val="FootnoteReference"/>
        </w:rPr>
        <w:footnoteRef/>
      </w:r>
      <w:r>
        <w:t xml:space="preserve"> </w:t>
      </w:r>
      <w:r>
        <w:t xml:space="preserve">[@sallebray1642, s. 27]</w:t>
      </w:r>
      <w:r>
        <w:t xml:space="preserve">: „du fard egyptien t’enseignera l’usage”.</w:t>
      </w:r>
    </w:p>
  </w:footnote>
  <w:footnote w:id="35">
    <w:p>
      <w:pPr>
        <w:pStyle w:val="FootnoteText"/>
      </w:pPr>
      <w:r>
        <w:rPr>
          <w:rStyle w:val="FootnoteReference"/>
        </w:rPr>
        <w:footnoteRef/>
      </w:r>
      <w:r>
        <w:t xml:space="preserve"> </w:t>
      </w:r>
      <w:r>
        <w:t xml:space="preserve">Ménestrier szczegółowo opisuje natomiast kostiumy i kosmetyki służące do przedstawiania postaci Maurów.</w:t>
      </w:r>
      <w:r>
        <w:t xml:space="preserve"> </w:t>
      </w:r>
      <w:r>
        <w:t xml:space="preserve">[@menestrier1682, s. 251]</w:t>
      </w:r>
      <w:r>
        <w:t xml:space="preserve">. Henriette Asséo naliczyła co najmniej trzydzieści baletów dworskich z postaciami romskimi z lat 1610–1720. Twierdzi, że w przedstawieniach tych występowali niekiedy prawdziwi romscy artyści:</w:t>
      </w:r>
      <w:r>
        <w:t xml:space="preserve"> </w:t>
      </w:r>
      <w:r>
        <w:t xml:space="preserve">[@asseo2009, s. 5]</w:t>
      </w:r>
      <w:r>
        <w:t xml:space="preserve">.</w:t>
      </w:r>
    </w:p>
  </w:footnote>
  <w:footnote w:id="36">
    <w:p>
      <w:pPr>
        <w:pStyle w:val="FootnoteText"/>
      </w:pPr>
      <w:r>
        <w:rPr>
          <w:rStyle w:val="FootnoteReference"/>
        </w:rPr>
        <w:footnoteRef/>
      </w:r>
      <w:r>
        <w:t xml:space="preserve"> </w:t>
      </w:r>
      <w:r>
        <w:t xml:space="preserve">[@ndiaye2021]</w:t>
      </w:r>
      <w:r>
        <w:t xml:space="preserve">.</w:t>
      </w:r>
    </w:p>
  </w:footnote>
  <w:footnote w:id="37">
    <w:p>
      <w:pPr>
        <w:pStyle w:val="FootnoteText"/>
      </w:pPr>
      <w:r>
        <w:rPr>
          <w:rStyle w:val="FootnoteReference"/>
        </w:rPr>
        <w:footnoteRef/>
      </w:r>
      <w:r>
        <w:t xml:space="preserve"> </w:t>
      </w:r>
      <w:r>
        <w:t xml:space="preserve">[@dodoens1578, s. 257]</w:t>
      </w:r>
      <w:r>
        <w:t xml:space="preserve">.</w:t>
      </w:r>
    </w:p>
  </w:footnote>
  <w:footnote w:id="38">
    <w:p>
      <w:pPr>
        <w:pStyle w:val="FootnoteText"/>
      </w:pPr>
      <w:r>
        <w:rPr>
          <w:rStyle w:val="FootnoteReference"/>
        </w:rPr>
        <w:footnoteRef/>
      </w:r>
      <w:r>
        <w:t xml:space="preserve"> </w:t>
      </w:r>
      <w:r>
        <w:t xml:space="preserve">Cyt. za</w:t>
      </w:r>
      <w:r>
        <w:t xml:space="preserve"> </w:t>
      </w:r>
      <w:r>
        <w:t xml:space="preserve">[@reynolds2002, s. 43]</w:t>
      </w:r>
      <w:r>
        <w:t xml:space="preserve">.</w:t>
      </w:r>
    </w:p>
  </w:footnote>
  <w:footnote w:id="39">
    <w:p>
      <w:pPr>
        <w:pStyle w:val="FootnoteText"/>
      </w:pPr>
      <w:r>
        <w:rPr>
          <w:rStyle w:val="FootnoteReference"/>
        </w:rPr>
        <w:footnoteRef/>
      </w:r>
      <w:r>
        <w:t xml:space="preserve"> </w:t>
      </w:r>
      <w:r>
        <w:t xml:space="preserve">[@camus1640, s. 70–71]</w:t>
      </w:r>
      <w:r>
        <w:t xml:space="preserve">: „Que ce visage bazané n’estonne personne, cette couleur ne luy est pas naturelle mais artificielle, et bien que le hasle du soleil où nous sommes ordinairement exposées contribue quelque chose à nous gaster le taint, ce n’est rien pourtant à comparaison du suc d’une certaine herbe qui nous brunit de la sorte, et nous sçavons le secret de certaine lexive pour lever cette noirceur”.</w:t>
      </w:r>
    </w:p>
  </w:footnote>
  <w:footnote w:id="40">
    <w:p>
      <w:pPr>
        <w:pStyle w:val="FootnoteText"/>
      </w:pPr>
      <w:r>
        <w:rPr>
          <w:rStyle w:val="FootnoteReference"/>
        </w:rPr>
        <w:footnoteRef/>
      </w:r>
      <w:r>
        <w:t xml:space="preserve"> </w:t>
      </w:r>
      <w:r>
        <w:t xml:space="preserve">[@head1688, s. 5]</w:t>
      </w:r>
      <w:r>
        <w:t xml:space="preserve">.</w:t>
      </w:r>
    </w:p>
  </w:footnote>
  <w:footnote w:id="41">
    <w:p>
      <w:pPr>
        <w:pStyle w:val="FootnoteText"/>
      </w:pPr>
      <w:r>
        <w:rPr>
          <w:rStyle w:val="FootnoteReference"/>
        </w:rPr>
        <w:footnoteRef/>
      </w:r>
      <w:r>
        <w:t xml:space="preserve"> </w:t>
      </w:r>
      <w:r>
        <w:t xml:space="preserve">[@browne1672, s. 387, 376]</w:t>
      </w:r>
      <w:r>
        <w:t xml:space="preserve">.</w:t>
      </w:r>
    </w:p>
  </w:footnote>
  <w:footnote w:id="42">
    <w:p>
      <w:pPr>
        <w:pStyle w:val="FootnoteText"/>
      </w:pPr>
      <w:r>
        <w:rPr>
          <w:rStyle w:val="FootnoteReference"/>
        </w:rPr>
        <w:footnoteRef/>
      </w:r>
      <w:r>
        <w:t xml:space="preserve"> </w:t>
      </w:r>
      <w:r>
        <w:t xml:space="preserve">[@browne1672, s. 376]</w:t>
      </w:r>
      <w:r>
        <w:t xml:space="preserve">.</w:t>
      </w:r>
    </w:p>
  </w:footnote>
  <w:footnote w:id="43">
    <w:p>
      <w:pPr>
        <w:pStyle w:val="FootnoteText"/>
      </w:pPr>
      <w:r>
        <w:rPr>
          <w:rStyle w:val="FootnoteReference"/>
        </w:rPr>
        <w:footnoteRef/>
      </w:r>
      <w:r>
        <w:t xml:space="preserve"> </w:t>
      </w:r>
      <w:r>
        <w:t xml:space="preserve">[@newman2015, s. 6]</w:t>
      </w:r>
      <w:r>
        <w:t xml:space="preserve">. Cervantes czerpał inspirację z</w:t>
      </w:r>
      <w:r>
        <w:t xml:space="preserve"> </w:t>
      </w:r>
      <w:r>
        <w:rPr>
          <w:i/>
          <w:iCs/>
        </w:rPr>
        <w:t xml:space="preserve">Opowieści etiopskiej</w:t>
      </w:r>
      <w:r>
        <w:t xml:space="preserve"> </w:t>
      </w:r>
      <w:r>
        <w:t xml:space="preserve">Heliodora i wzorował swoją białą romską bohaterkę Preciosę na białej etiopskiej księżniczce Chariklei.</w:t>
      </w:r>
    </w:p>
  </w:footnote>
  <w:footnote w:id="44">
    <w:p>
      <w:pPr>
        <w:pStyle w:val="FootnoteText"/>
      </w:pPr>
      <w:r>
        <w:rPr>
          <w:rStyle w:val="FootnoteReference"/>
        </w:rPr>
        <w:footnoteRef/>
      </w:r>
      <w:r>
        <w:t xml:space="preserve"> </w:t>
      </w:r>
      <w:r>
        <w:t xml:space="preserve">[@sallebray1642, s. 6]</w:t>
      </w:r>
      <w:r>
        <w:t xml:space="preserve">: „Le jour du ballet (jour des plus fortunés) / Où tu menais danser des Mores enchaînés”.</w:t>
      </w:r>
    </w:p>
  </w:footnote>
  <w:footnote w:id="45">
    <w:p>
      <w:pPr>
        <w:pStyle w:val="FootnoteText"/>
      </w:pPr>
      <w:r>
        <w:rPr>
          <w:rStyle w:val="FootnoteReference"/>
        </w:rPr>
        <w:footnoteRef/>
      </w:r>
      <w:r>
        <w:t xml:space="preserve"> </w:t>
      </w:r>
      <w:r>
        <w:t xml:space="preserve">[@sentaurens1984, s. 1173–1225]</w:t>
      </w:r>
      <w:r>
        <w:t xml:space="preserve">.</w:t>
      </w:r>
    </w:p>
  </w:footnote>
  <w:footnote w:id="46">
    <w:p>
      <w:pPr>
        <w:pStyle w:val="FootnoteText"/>
      </w:pPr>
      <w:r>
        <w:rPr>
          <w:rStyle w:val="FootnoteReference"/>
        </w:rPr>
        <w:footnoteRef/>
      </w:r>
      <w:r>
        <w:t xml:space="preserve"> </w:t>
      </w:r>
      <w:r>
        <w:t xml:space="preserve">[@goldberg2019, s. 19]</w:t>
      </w:r>
      <w:r>
        <w:t xml:space="preserve">.</w:t>
      </w:r>
    </w:p>
  </w:footnote>
  <w:footnote w:id="47">
    <w:p>
      <w:pPr>
        <w:pStyle w:val="FootnoteText"/>
      </w:pPr>
      <w:r>
        <w:rPr>
          <w:rStyle w:val="FootnoteReference"/>
        </w:rPr>
        <w:footnoteRef/>
      </w:r>
      <w:r>
        <w:t xml:space="preserve"> </w:t>
      </w:r>
      <w:r>
        <w:t xml:space="preserve">Wczesnonowożytne angielskie</w:t>
      </w:r>
      <w:r>
        <w:t xml:space="preserve"> </w:t>
      </w:r>
      <w:r>
        <w:rPr>
          <w:i/>
          <w:iCs/>
        </w:rPr>
        <w:t xml:space="preserve">antics</w:t>
      </w:r>
      <w:r>
        <w:t xml:space="preserve"> </w:t>
      </w:r>
      <w:r>
        <w:t xml:space="preserve">i ich możliwości urasawiające definiuję i szczegółowo badam w</w:t>
      </w:r>
      <w:r>
        <w:t xml:space="preserve"> </w:t>
      </w:r>
      <w:r>
        <w:t xml:space="preserve">[@ndiaye2021, s. 145–151; @ndiaye2022, s. 214–231]</w:t>
      </w:r>
      <w:r>
        <w:t xml:space="preserve">.</w:t>
      </w:r>
    </w:p>
  </w:footnote>
  <w:footnote w:id="48">
    <w:p>
      <w:pPr>
        <w:pStyle w:val="FootnoteText"/>
      </w:pPr>
      <w:r>
        <w:rPr>
          <w:rStyle w:val="FootnoteReference"/>
        </w:rPr>
        <w:footnoteRef/>
      </w:r>
      <w:r>
        <w:t xml:space="preserve"> </w:t>
      </w:r>
      <w:r>
        <w:t xml:space="preserve">[@vallee1657, s. 45]</w:t>
      </w:r>
      <w:r>
        <w:t xml:space="preserve">: „Il se noircit ainsi le visage et les mains”.</w:t>
      </w:r>
    </w:p>
  </w:footnote>
  <w:footnote w:id="49">
    <w:p>
      <w:pPr>
        <w:pStyle w:val="FootnoteText"/>
      </w:pPr>
      <w:r>
        <w:rPr>
          <w:rStyle w:val="FootnoteReference"/>
        </w:rPr>
        <w:footnoteRef/>
      </w:r>
      <w:r>
        <w:t xml:space="preserve"> </w:t>
      </w:r>
      <w:r>
        <w:t xml:space="preserve">[@forestier1988, s. 286]</w:t>
      </w:r>
      <w:r>
        <w:t xml:space="preserve">: „Vallée a cherché à créer une situation psychologique originale, celle d’un héros qui s’est lui-même persuadé qu’il est mort en tant que prince et qu’il est devenu l’esclave Atramante”.</w:t>
      </w:r>
    </w:p>
  </w:footnote>
  <w:footnote w:id="50">
    <w:p>
      <w:pPr>
        <w:pStyle w:val="FootnoteText"/>
      </w:pPr>
      <w:r>
        <w:rPr>
          <w:rStyle w:val="FootnoteReference"/>
        </w:rPr>
        <w:footnoteRef/>
      </w:r>
      <w:r>
        <w:t xml:space="preserve"> </w:t>
      </w:r>
      <w:r>
        <w:t xml:space="preserve">„Wolę termin »alienacja natalna«, ponieważ trafia on wprost w sedno tego, co w wymuszonej alienacji niewolnika najistotniejsze: w utratę więzów urodzenia zarówno w pokoleniach wstępnych, jak i zstępnych. Niesie on też ważny odcień utraty statusu rodzimego, wykorzenienia. To właśnie ta alienacja niewolnika od wszelkich formalnych, prawnie egzekwowalnych więzów »krwi« i od wszelkiej przynależności do grup czy miejsc innych niż te, które wybrał dla niego pan, nadawała relacji niewolnictwa jej szczególną wartość dla pana”:</w:t>
      </w:r>
      <w:r>
        <w:t xml:space="preserve"> </w:t>
      </w:r>
      <w:r>
        <w:t xml:space="preserve">[@patterson1982, s. 7]</w:t>
      </w:r>
      <w:r>
        <w:t xml:space="preserve">. „Śmierć społeczna” jest „zewnętrzną koncepcją” tej alienacji natalnej:</w:t>
      </w:r>
      <w:r>
        <w:t xml:space="preserve"> </w:t>
      </w:r>
      <w:r>
        <w:t xml:space="preserve">[@patterson1982, s. 8]</w:t>
      </w:r>
      <w:r>
        <w:t xml:space="preserve">.</w:t>
      </w:r>
    </w:p>
  </w:footnote>
  <w:footnote w:id="51">
    <w:p>
      <w:pPr>
        <w:pStyle w:val="FootnoteText"/>
      </w:pPr>
      <w:r>
        <w:rPr>
          <w:rStyle w:val="FootnoteReference"/>
        </w:rPr>
        <w:footnoteRef/>
      </w:r>
      <w:r>
        <w:t xml:space="preserve"> </w:t>
      </w:r>
      <w:r>
        <w:t xml:space="preserve">[@vallee1657, s. 63]</w:t>
      </w:r>
      <w:r>
        <w:t xml:space="preserve">: „Que je reputeray pour un tître d’honneur / Que vous soyez toujours mon maistre et mon seigneur / […] Qui souffre l’esclavage en doit subir les loix”.</w:t>
      </w:r>
    </w:p>
  </w:footnote>
  <w:footnote w:id="52">
    <w:p>
      <w:pPr>
        <w:pStyle w:val="FootnoteText"/>
      </w:pPr>
      <w:r>
        <w:rPr>
          <w:rStyle w:val="FootnoteReference"/>
        </w:rPr>
        <w:footnoteRef/>
      </w:r>
      <w:r>
        <w:t xml:space="preserve"> </w:t>
      </w:r>
      <w:r>
        <w:t xml:space="preserve">„Le frère du malade imaginaire lui amène pour le divertir plusieurs Egyptiens et Egyptiennes vestus en Mores, qui font des danses entremeslées de chansons. […] Tous les Mores dansent ensemble et font sauter des singes qu’ils ont amenez avec eux”:</w:t>
      </w:r>
      <w:r>
        <w:t xml:space="preserve"> </w:t>
      </w:r>
      <w:r>
        <w:t xml:space="preserve">[@moliere1674, s. 26–27, 30]</w:t>
      </w:r>
      <w:r>
        <w:t xml:space="preserve">.</w:t>
      </w:r>
    </w:p>
  </w:footnote>
  <w:footnote w:id="53">
    <w:p>
      <w:pPr>
        <w:pStyle w:val="FootnoteText"/>
      </w:pPr>
      <w:r>
        <w:rPr>
          <w:rStyle w:val="FootnoteReference"/>
        </w:rPr>
        <w:footnoteRef/>
      </w:r>
      <w:r>
        <w:t xml:space="preserve"> </w:t>
      </w:r>
      <w:r>
        <w:t xml:space="preserve">[@ndiaye2022, s. 93]</w:t>
      </w:r>
      <w:r>
        <w:t xml:space="preserve">.</w:t>
      </w:r>
    </w:p>
  </w:footnote>
  <w:footnote w:id="54">
    <w:p>
      <w:pPr>
        <w:pStyle w:val="FootnoteText"/>
      </w:pPr>
      <w:r>
        <w:rPr>
          <w:rStyle w:val="FootnoteReference"/>
        </w:rPr>
        <w:footnoteRef/>
      </w:r>
      <w:r>
        <w:t xml:space="preserve"> </w:t>
      </w:r>
      <w:r>
        <w:t xml:space="preserve">[@ndiaye2022, s. 206–214]</w:t>
      </w:r>
      <w:r>
        <w:t xml:space="preserve">.</w:t>
      </w:r>
    </w:p>
  </w:footnote>
  <w:footnote w:id="55">
    <w:p>
      <w:pPr>
        <w:pStyle w:val="FootnoteText"/>
      </w:pPr>
      <w:r>
        <w:rPr>
          <w:rStyle w:val="FootnoteReference"/>
        </w:rPr>
        <w:footnoteRef/>
      </w:r>
      <w:r>
        <w:t xml:space="preserve"> </w:t>
      </w:r>
      <w:r>
        <w:t xml:space="preserve">[@moliere1673, s. 88–90; @moliere1827, s. 49–50; @moliere1668, s. 64–69]</w:t>
      </w:r>
      <w:r>
        <w:t xml:space="preserve">.</w:t>
      </w:r>
    </w:p>
  </w:footnote>
  <w:footnote w:id="56">
    <w:p>
      <w:pPr>
        <w:pStyle w:val="FootnoteText"/>
      </w:pPr>
      <w:r>
        <w:rPr>
          <w:rStyle w:val="FootnoteReference"/>
        </w:rPr>
        <w:footnoteRef/>
      </w:r>
      <w:r>
        <w:t xml:space="preserve"> </w:t>
      </w:r>
      <w:r>
        <w:t xml:space="preserve">Na stronie internetowej teatru narodowego La Comédie-Française można przeczytać, że</w:t>
      </w:r>
      <w:r>
        <w:t xml:space="preserve"> </w:t>
      </w:r>
      <w:r>
        <w:rPr>
          <w:i/>
          <w:iCs/>
        </w:rPr>
        <w:t xml:space="preserve">Szelmostwa Skapena</w:t>
      </w:r>
      <w:r>
        <w:t xml:space="preserve"> </w:t>
      </w:r>
      <w:r>
        <w:t xml:space="preserve">wiele zawdzięczają Terencjuszowi, Skaramuszowi i występom Tabarina, a w pomniejszych fragmentach także Cyranowi de Bergerac, Plautowi i Rotrou. Nie można tam natomiast przeczytać, że sztuka ma dług także wobec noweli Cervantesa</w:t>
      </w:r>
      <w:r>
        <w:t xml:space="preserve"> </w:t>
      </w:r>
      <w:r>
        <w:rPr>
          <w:i/>
          <w:iCs/>
        </w:rPr>
        <w:t xml:space="preserve">Cyganiątko</w:t>
      </w:r>
      <w:r>
        <w:t xml:space="preserve"> </w:t>
      </w:r>
      <w:r>
        <w:t xml:space="preserve">z 1613 roku, opublikowanej w</w:t>
      </w:r>
      <w:r>
        <w:t xml:space="preserve"> </w:t>
      </w:r>
      <w:r>
        <w:rPr>
          <w:i/>
          <w:iCs/>
        </w:rPr>
        <w:t xml:space="preserve">Nowelach przykładnych</w:t>
      </w:r>
      <w:r>
        <w:t xml:space="preserve"> </w:t>
      </w:r>
      <w:r>
        <w:t xml:space="preserve">(</w:t>
      </w:r>
      <w:r>
        <w:rPr>
          <w:i/>
          <w:iCs/>
        </w:rPr>
        <w:t xml:space="preserve">Novelas exemplares</w:t>
      </w:r>
      <w:r>
        <w:t xml:space="preserve">). O tej filiacji nie wspominają również studia nad wpływem Cervantesa we Francji, takie jak prace Newman i Crooks.</w:t>
      </w:r>
    </w:p>
  </w:footnote>
  <w:footnote w:id="57">
    <w:p>
      <w:pPr>
        <w:pStyle w:val="FootnoteText"/>
      </w:pPr>
      <w:r>
        <w:rPr>
          <w:rStyle w:val="FootnoteReference"/>
        </w:rPr>
        <w:footnoteRef/>
      </w:r>
      <w:r>
        <w:t xml:space="preserve"> </w:t>
      </w:r>
      <w:r>
        <w:t xml:space="preserve">[@molier1922]</w:t>
      </w:r>
      <w:r>
        <w:t xml:space="preserve"> </w:t>
      </w:r>
      <w:commentRangeStart w:id="2"/>
      <w:commentRangeEnd w:id="2"/>
      <w:r>
        <w:rPr>
          <w:rStyle w:val="CommentReference"/>
        </w:rPr>
        <w:commentReference w:id="2"/>
      </w:r>
      <w:r>
        <w:t xml:space="preserve">; oryginał: „Une bande de ces personnes, qu’on appelle Égyptiens, et qui rôdant de province en province, se mêlent de dire la bonne fortune, et quelquefois de beaucoup d’autres choses”:</w:t>
      </w:r>
      <w:r>
        <w:t xml:space="preserve"> </w:t>
      </w:r>
      <w:r>
        <w:t xml:space="preserve">[@moliere1671, s. 103]</w:t>
      </w:r>
      <w:r>
        <w:t xml:space="preserve">.</w:t>
      </w:r>
    </w:p>
  </w:footnote>
  <w:footnote w:id="58">
    <w:p>
      <w:pPr>
        <w:pStyle w:val="FootnoteText"/>
      </w:pPr>
      <w:r>
        <w:rPr>
          <w:rStyle w:val="FootnoteReference"/>
        </w:rPr>
        <w:footnoteRef/>
      </w:r>
      <w:r>
        <w:t xml:space="preserve"> </w:t>
      </w:r>
      <w:r>
        <w:t xml:space="preserve">W przekładzie Tadeusza Boya-Żeleńskiego, z którego cytowane są tu</w:t>
      </w:r>
      <w:r>
        <w:t xml:space="preserve"> </w:t>
      </w:r>
      <w:r>
        <w:rPr>
          <w:i/>
          <w:iCs/>
        </w:rPr>
        <w:t xml:space="preserve">Szelmostwa Skapena</w:t>
      </w:r>
      <w:r>
        <w:t xml:space="preserve">, Molierowscy</w:t>
      </w:r>
      <w:r>
        <w:t xml:space="preserve"> </w:t>
      </w:r>
      <w:r>
        <w:rPr>
          <w:i/>
          <w:iCs/>
        </w:rPr>
        <w:t xml:space="preserve">Égyptiens</w:t>
      </w:r>
      <w:r>
        <w:t xml:space="preserve"> </w:t>
      </w:r>
      <w:r>
        <w:t xml:space="preserve">są konsekwentnie „Cyganami” (np. „Cyganie mają zamiar uprowadzić stąd Zerbinetę”; w oryginale: „Vos Égyptiens sont sur le point de vous enlever Zerbinette”), a w przytoczonym zdaniu pominięto określenie „qu’on appelle Égyptiens” („których nazywają Egipcjanami”). Wywód autorki odwołuje się do nazwy użytej przez Moliera – przyp. tłum.</w:t>
      </w:r>
    </w:p>
  </w:footnote>
  <w:footnote w:id="59">
    <w:p>
      <w:pPr>
        <w:pStyle w:val="FootnoteText"/>
      </w:pPr>
      <w:r>
        <w:rPr>
          <w:rStyle w:val="FootnoteReference"/>
        </w:rPr>
        <w:footnoteRef/>
      </w:r>
      <w:r>
        <w:t xml:space="preserve"> </w:t>
      </w:r>
      <w:r>
        <w:t xml:space="preserve">W oryginale</w:t>
      </w:r>
      <w:r>
        <w:t xml:space="preserve"> </w:t>
      </w:r>
      <w:r>
        <w:rPr>
          <w:i/>
          <w:iCs/>
        </w:rPr>
        <w:t xml:space="preserve">bracelet</w:t>
      </w:r>
      <w:r>
        <w:t xml:space="preserve">; u Boya-Żeleńskiego „naszyjnik” – przyp. tłum.</w:t>
      </w:r>
    </w:p>
  </w:footnote>
  <w:footnote w:id="60">
    <w:p>
      <w:pPr>
        <w:pStyle w:val="FootnoteText"/>
      </w:pPr>
      <w:r>
        <w:rPr>
          <w:rStyle w:val="FootnoteReference"/>
        </w:rPr>
        <w:footnoteRef/>
      </w:r>
      <w:r>
        <w:t xml:space="preserve"> </w:t>
      </w:r>
      <w:r>
        <w:t xml:space="preserve">[@molier1922]</w:t>
      </w:r>
      <w:r>
        <w:t xml:space="preserve"> </w:t>
      </w:r>
      <w:commentRangeStart w:id="3"/>
      <w:commentRangeEnd w:id="3"/>
      <w:r>
        <w:rPr>
          <w:rStyle w:val="CommentReference"/>
        </w:rPr>
        <w:commentReference w:id="3"/>
      </w:r>
      <w:r>
        <w:t xml:space="preserve">; oryginał: „Un petit démêlé avec la justice […] elle en usa fort mal avec moi”:</w:t>
      </w:r>
      <w:r>
        <w:t xml:space="preserve"> </w:t>
      </w:r>
      <w:r>
        <w:t xml:space="preserve">[@moliere1671, s. 7]</w:t>
      </w:r>
      <w:r>
        <w:t xml:space="preserve">.</w:t>
      </w:r>
    </w:p>
  </w:footnote>
  <w:footnote w:id="61">
    <w:p>
      <w:pPr>
        <w:pStyle w:val="FootnoteText"/>
      </w:pPr>
      <w:r>
        <w:rPr>
          <w:rStyle w:val="FootnoteReference"/>
        </w:rPr>
        <w:footnoteRef/>
      </w:r>
      <w:r>
        <w:t xml:space="preserve"> </w:t>
      </w:r>
      <w:r>
        <w:t xml:space="preserve">[@molier1922]</w:t>
      </w:r>
      <w:r>
        <w:t xml:space="preserve"> </w:t>
      </w:r>
      <w:commentRangeStart w:id="4"/>
      <w:commentRangeEnd w:id="4"/>
      <w:r>
        <w:rPr>
          <w:rStyle w:val="CommentReference"/>
        </w:rPr>
        <w:commentReference w:id="4"/>
      </w:r>
      <w:r>
        <w:t xml:space="preserve">; oryginał: „Trois ans de galère de plus, ou de moins, ne sont pas pour arrêter un noble cœur”:</w:t>
      </w:r>
      <w:r>
        <w:t xml:space="preserve"> </w:t>
      </w:r>
      <w:r>
        <w:t xml:space="preserve">[@moliere1671, s. 34]</w:t>
      </w:r>
      <w:r>
        <w:t xml:space="preserve">.</w:t>
      </w:r>
    </w:p>
  </w:footnote>
  <w:footnote w:id="62">
    <w:p>
      <w:pPr>
        <w:pStyle w:val="FootnoteText"/>
      </w:pPr>
      <w:r>
        <w:rPr>
          <w:rStyle w:val="FootnoteReference"/>
        </w:rPr>
        <w:footnoteRef/>
      </w:r>
      <w:r>
        <w:t xml:space="preserve"> </w:t>
      </w:r>
      <w:r>
        <w:t xml:space="preserve">Tyradę Skapena przeciw francuskiemu wymiarowi sprawiedliwości zob.</w:t>
      </w:r>
      <w:r>
        <w:t xml:space="preserve"> </w:t>
      </w:r>
      <w:r>
        <w:t xml:space="preserve">[@moliere1671, s. 61–62]</w:t>
      </w:r>
      <w:r>
        <w:t xml:space="preserve">. Uraza Skapena zdaje się pobrzmiewać rozpowszechnionym wówczas przekonaniem, że wymiar sprawiedliwości jest do cna skorumpowany i nie egzekwuje prawa. Wielka Ordonansa Ludwika XIV z 1670 roku miała zaradzić tym problemom. Ordonansa miała w szczególności skrócić czas trwania procesów i zmniejszyć związane z nimi koszty.</w:t>
      </w:r>
      <w:r>
        <w:t xml:space="preserve"> </w:t>
      </w:r>
      <w:r>
        <w:t xml:space="preserve">[@boulanger2000, s. 31]</w:t>
      </w:r>
      <w:r>
        <w:t xml:space="preserve">.</w:t>
      </w:r>
    </w:p>
  </w:footnote>
  <w:footnote w:id="63">
    <w:p>
      <w:pPr>
        <w:pStyle w:val="FootnoteText"/>
      </w:pPr>
      <w:r>
        <w:rPr>
          <w:rStyle w:val="FootnoteReference"/>
        </w:rPr>
        <w:footnoteRef/>
      </w:r>
      <w:r>
        <w:t xml:space="preserve"> </w:t>
      </w:r>
      <w:r>
        <w:t xml:space="preserve">[@levin1967, s. 130]</w:t>
      </w:r>
      <w:r>
        <w:t xml:space="preserve">.</w:t>
      </w:r>
    </w:p>
  </w:footnote>
  <w:footnote w:id="64">
    <w:p>
      <w:pPr>
        <w:pStyle w:val="FootnoteText"/>
      </w:pPr>
      <w:r>
        <w:rPr>
          <w:rStyle w:val="FootnoteReference"/>
        </w:rPr>
        <w:footnoteRef/>
      </w:r>
      <w:r>
        <w:t xml:space="preserve"> </w:t>
      </w:r>
      <w:r>
        <w:rPr>
          <w:i/>
          <w:iCs/>
        </w:rPr>
        <w:t xml:space="preserve">Zanni</w:t>
      </w:r>
      <w:r>
        <w:t xml:space="preserve"> </w:t>
      </w:r>
      <w:r>
        <w:t xml:space="preserve">Scapino był „sprytnym intrygantem, zręcznym wynalazcą fabuł i fortelów, a przecież nigdy nie był występny”:</w:t>
      </w:r>
      <w:r>
        <w:t xml:space="preserve"> </w:t>
      </w:r>
      <w:r>
        <w:t xml:space="preserve">[@nicoll1963, s. 76]</w:t>
      </w:r>
      <w:r>
        <w:t xml:space="preserve">. Skapen wyznaje pod przymusem, że w przeszłości ukradł swemu młodemu panu hiszpańskie wino i zegarek.</w:t>
      </w:r>
    </w:p>
  </w:footnote>
  <w:footnote w:id="65">
    <w:p>
      <w:pPr>
        <w:pStyle w:val="FootnoteText"/>
      </w:pPr>
      <w:r>
        <w:rPr>
          <w:rStyle w:val="FootnoteReference"/>
        </w:rPr>
        <w:footnoteRef/>
      </w:r>
      <w:r>
        <w:t xml:space="preserve"> </w:t>
      </w:r>
      <w:r>
        <w:t xml:space="preserve">O związkach postaci</w:t>
      </w:r>
      <w:r>
        <w:t xml:space="preserve"> </w:t>
      </w:r>
      <w:r>
        <w:rPr>
          <w:i/>
          <w:iCs/>
        </w:rPr>
        <w:t xml:space="preserve">zingana</w:t>
      </w:r>
      <w:r>
        <w:t xml:space="preserve"> </w:t>
      </w:r>
      <w:r>
        <w:t xml:space="preserve">w przedstawieniach commedii dell’arte i w kulturze ikonograficznej zob.</w:t>
      </w:r>
      <w:r>
        <w:t xml:space="preserve"> </w:t>
      </w:r>
      <w:r>
        <w:t xml:space="preserve">[@katritzky2006, s. 210–213]</w:t>
      </w:r>
      <w:r>
        <w:t xml:space="preserve">. O językowym przedstawianiu postaci romskich w sztukach commedii dell’arte, takich jak</w:t>
      </w:r>
      <w:r>
        <w:t xml:space="preserve"> </w:t>
      </w:r>
      <w:r>
        <w:rPr>
          <w:i/>
          <w:iCs/>
        </w:rPr>
        <w:t xml:space="preserve">La zingana</w:t>
      </w:r>
      <w:r>
        <w:t xml:space="preserve"> </w:t>
      </w:r>
      <w:r>
        <w:t xml:space="preserve">(1544–1545) Giglia Artemia Giancarlego, zob.</w:t>
      </w:r>
      <w:r>
        <w:t xml:space="preserve"> </w:t>
      </w:r>
      <w:r>
        <w:t xml:space="preserve">[@jaffeberg2015, s. 85–87, 115–117; @andrews1993, s. 150–153]</w:t>
      </w:r>
      <w:r>
        <w:t xml:space="preserve">.</w:t>
      </w:r>
    </w:p>
  </w:footnote>
  <w:footnote w:id="66">
    <w:p>
      <w:pPr>
        <w:pStyle w:val="FootnoteText"/>
      </w:pPr>
      <w:r>
        <w:rPr>
          <w:rStyle w:val="FootnoteReference"/>
        </w:rPr>
        <w:footnoteRef/>
      </w:r>
      <w:r>
        <w:t xml:space="preserve"> </w:t>
      </w:r>
      <w:r>
        <w:t xml:space="preserve">Scena rozpoznania w sztuce Moliera opiera się na wątłym dowodzie: zaledwie na bransoletce małego dziecka, drobnym rekwizycie. W przypadku Zerbinety ciężar dowodu znacznie łatwiej udźwignąć niż w przypadku Preciosy Cervantesa, której scena rozpoznania obejmuje klejnoty, list, a przede wszystkim dowody cielesne (znamię na piersi i dwa zrośnięte palce u nogi).</w:t>
      </w:r>
    </w:p>
  </w:footnote>
  <w:footnote w:id="67">
    <w:p>
      <w:pPr>
        <w:pStyle w:val="FootnoteText"/>
      </w:pPr>
      <w:r>
        <w:rPr>
          <w:rStyle w:val="FootnoteReference"/>
        </w:rPr>
        <w:footnoteRef/>
      </w:r>
      <w:r>
        <w:t xml:space="preserve"> </w:t>
      </w:r>
      <w:r>
        <w:t xml:space="preserve">[@damon1997, s. 7–8]</w:t>
      </w:r>
      <w:r>
        <w:t xml:space="preserve">.</w:t>
      </w:r>
    </w:p>
  </w:footnote>
  <w:footnote w:id="68">
    <w:p>
      <w:pPr>
        <w:pStyle w:val="FootnoteText"/>
      </w:pPr>
      <w:r>
        <w:rPr>
          <w:rStyle w:val="FootnoteReference"/>
        </w:rPr>
        <w:footnoteRef/>
      </w:r>
      <w:r>
        <w:t xml:space="preserve"> </w:t>
      </w:r>
      <w:r>
        <w:t xml:space="preserve">[@filhol2010; @asseo1974, s. 30–33]</w:t>
      </w:r>
      <w:r>
        <w:t xml:space="preserve">.</w:t>
      </w:r>
    </w:p>
  </w:footnote>
  <w:footnote w:id="69">
    <w:p>
      <w:pPr>
        <w:pStyle w:val="FootnoteText"/>
      </w:pPr>
      <w:r>
        <w:rPr>
          <w:rStyle w:val="FootnoteReference"/>
        </w:rPr>
        <w:footnoteRef/>
      </w:r>
      <w:r>
        <w:t xml:space="preserve"> </w:t>
      </w:r>
      <w:r>
        <w:t xml:space="preserve">Zob. https://www.un.org/en/genocideprevention/genocide-convention.shtml. [Tekst polski: Dz.U. 1952, nr 2, poz. 9 – przyp. tłum.]</w:t>
      </w:r>
    </w:p>
  </w:footnote>
  <w:footnote w:id="70">
    <w:p>
      <w:pPr>
        <w:pStyle w:val="FootnoteText"/>
      </w:pPr>
      <w:r>
        <w:rPr>
          <w:rStyle w:val="FootnoteReference"/>
        </w:rPr>
        <w:footnoteRef/>
      </w:r>
      <w:r>
        <w:t xml:space="preserve"> </w:t>
      </w:r>
      <w:r>
        <w:t xml:space="preserve">[@taylor2014, s. 66–86; @cressy2016]</w:t>
      </w:r>
      <w:r>
        <w:t xml:space="preserve">.</w:t>
      </w:r>
    </w:p>
  </w:footnote>
  <w:footnote w:id="71">
    <w:p>
      <w:pPr>
        <w:pStyle w:val="FootnoteText"/>
      </w:pPr>
      <w:r>
        <w:rPr>
          <w:rStyle w:val="FootnoteReference"/>
        </w:rPr>
        <w:footnoteRef/>
      </w:r>
      <w:r>
        <w:t xml:space="preserve"> </w:t>
      </w:r>
      <w:r>
        <w:t xml:space="preserve">[@lucassen2003, s. 297]</w:t>
      </w:r>
      <w:r>
        <w:t xml:space="preserve">. O związku między prześladowaniem Romów a potrzebą obsadzenia królewskich galer zob. też</w:t>
      </w:r>
      <w:r>
        <w:t xml:space="preserve"> </w:t>
      </w:r>
      <w:r>
        <w:t xml:space="preserve">[@asseo1974, s. 59]</w:t>
      </w:r>
      <w:r>
        <w:t xml:space="preserve">.</w:t>
      </w:r>
    </w:p>
  </w:footnote>
  <w:footnote w:id="72">
    <w:p>
      <w:pPr>
        <w:pStyle w:val="FootnoteText"/>
      </w:pPr>
      <w:r>
        <w:rPr>
          <w:rStyle w:val="FootnoteReference"/>
        </w:rPr>
        <w:footnoteRef/>
      </w:r>
      <w:r>
        <w:t xml:space="preserve"> </w:t>
      </w:r>
      <w:r>
        <w:t xml:space="preserve">[@admant2015, s. 61]</w:t>
      </w:r>
      <w:r>
        <w:t xml:space="preserve">. O europejskim wymiarze tego zjawiska zob.</w:t>
      </w:r>
      <w:r>
        <w:t xml:space="preserve"> </w:t>
      </w:r>
      <w:r>
        <w:t xml:space="preserve">[@lucassen2003]</w:t>
      </w:r>
      <w:r>
        <w:t xml:space="preserve">.</w:t>
      </w:r>
    </w:p>
  </w:footnote>
  <w:footnote w:id="73">
    <w:p>
      <w:pPr>
        <w:pStyle w:val="FootnoteText"/>
      </w:pPr>
      <w:r>
        <w:rPr>
          <w:rStyle w:val="FootnoteReference"/>
        </w:rPr>
        <w:footnoteRef/>
      </w:r>
      <w:r>
        <w:t xml:space="preserve"> </w:t>
      </w:r>
      <w:r>
        <w:t xml:space="preserve">[@zysberg1987, s. 347–348]</w:t>
      </w:r>
      <w:r>
        <w:t xml:space="preserve">.</w:t>
      </w:r>
    </w:p>
  </w:footnote>
  <w:footnote w:id="74">
    <w:p>
      <w:pPr>
        <w:pStyle w:val="FootnoteText"/>
      </w:pPr>
      <w:r>
        <w:rPr>
          <w:rStyle w:val="FootnoteReference"/>
        </w:rPr>
        <w:footnoteRef/>
      </w:r>
      <w:r>
        <w:t xml:space="preserve"> </w:t>
      </w:r>
      <w:r>
        <w:t xml:space="preserve">[@daugeroth2019, s. 224]</w:t>
      </w:r>
      <w:r>
        <w:t xml:space="preserve">. Dauge-Roth podkreśla podobieństwa między piętnowaniem galerników a piętnowaniem zniewolonych ludzi afrodiasporycznych we francuskich koloniach: w obu przypadkach piętno oznaczało urasowione ciało jako własność króla lub białego pana.</w:t>
      </w:r>
      <w:r>
        <w:t xml:space="preserve"> </w:t>
      </w:r>
      <w:r>
        <w:t xml:space="preserve">[@daugeroth2019, s. 220–225]</w:t>
      </w:r>
      <w:r>
        <w:t xml:space="preserve">.</w:t>
      </w:r>
    </w:p>
  </w:footnote>
  <w:footnote w:id="75">
    <w:p>
      <w:pPr>
        <w:pStyle w:val="FootnoteText"/>
      </w:pPr>
      <w:r>
        <w:rPr>
          <w:rStyle w:val="FootnoteReference"/>
        </w:rPr>
        <w:footnoteRef/>
      </w:r>
      <w:r>
        <w:t xml:space="preserve"> </w:t>
      </w:r>
      <w:r>
        <w:t xml:space="preserve">[@daugeroth2019, s. 223; @zysberg1987, s. 376]</w:t>
      </w:r>
      <w:r>
        <w:t xml:space="preserve">.</w:t>
      </w:r>
    </w:p>
  </w:footnote>
  <w:footnote w:id="76">
    <w:p>
      <w:pPr>
        <w:pStyle w:val="FootnoteText"/>
      </w:pPr>
      <w:r>
        <w:rPr>
          <w:rStyle w:val="FootnoteReference"/>
        </w:rPr>
        <w:footnoteRef/>
      </w:r>
      <w:r>
        <w:t xml:space="preserve"> </w:t>
      </w:r>
      <w:r>
        <w:t xml:space="preserve">„Aby zachęcić do egzekwowania prawa,</w:t>
      </w:r>
      <w:r>
        <w:t xml:space="preserve"> </w:t>
      </w:r>
      <w:r>
        <w:rPr>
          <w:i/>
          <w:iCs/>
        </w:rPr>
        <w:t xml:space="preserve">maréchaussée</w:t>
      </w:r>
      <w:r>
        <w:t xml:space="preserve"> </w:t>
      </w:r>
      <w:r>
        <w:t xml:space="preserve">otrzymywała nagrody za każdą schwytaną osobę, czy to włóczęgę,</w:t>
      </w:r>
      <w:r>
        <w:t xml:space="preserve"> </w:t>
      </w:r>
      <w:r>
        <w:rPr>
          <w:i/>
          <w:iCs/>
        </w:rPr>
        <w:t xml:space="preserve">Bohémien</w:t>
      </w:r>
      <w:r>
        <w:t xml:space="preserve">, poganina, czy kogokolwiek innego, i aż do rewolucji zachowały się relacje o uzbrojonej policji wiejskiej polującej na Cyganów”:</w:t>
      </w:r>
      <w:r>
        <w:t xml:space="preserve"> </w:t>
      </w:r>
      <w:r>
        <w:t xml:space="preserve">[@taylor2014, s. 70]</w:t>
      </w:r>
      <w:r>
        <w:t xml:space="preserve">.</w:t>
      </w:r>
    </w:p>
  </w:footnote>
  <w:footnote w:id="77">
    <w:p>
      <w:pPr>
        <w:pStyle w:val="FootnoteText"/>
      </w:pPr>
      <w:r>
        <w:rPr>
          <w:rStyle w:val="FootnoteReference"/>
        </w:rPr>
        <w:footnoteRef/>
      </w:r>
      <w:r>
        <w:t xml:space="preserve"> </w:t>
      </w:r>
      <w:r>
        <w:t xml:space="preserve">Asséo wskazuje źródła historyczne sugerujące, że na początku XVIII wieku także praca Romnia była często zawłaszczana przez kapitalistyczną wspólnotę polityczną: zob.</w:t>
      </w:r>
      <w:r>
        <w:t xml:space="preserve"> </w:t>
      </w:r>
      <w:r>
        <w:t xml:space="preserve">[@asseo1974, s. 63]</w:t>
      </w:r>
      <w:r>
        <w:t xml:space="preserve">.</w:t>
      </w:r>
    </w:p>
  </w:footnote>
  <w:footnote w:id="78">
    <w:p>
      <w:pPr>
        <w:pStyle w:val="FootnoteText"/>
      </w:pPr>
      <w:r>
        <w:rPr>
          <w:rStyle w:val="FootnoteReference"/>
        </w:rPr>
        <w:footnoteRef/>
      </w:r>
      <w:r>
        <w:t xml:space="preserve"> </w:t>
      </w:r>
      <w:r>
        <w:t xml:space="preserve">„Baczność! Oto znów jakaś podejrzana figura”:</w:t>
      </w:r>
      <w:r>
        <w:t xml:space="preserve"> </w:t>
      </w:r>
      <w:r>
        <w:t xml:space="preserve">[@molier1922]</w:t>
      </w:r>
      <w:r>
        <w:t xml:space="preserve"> </w:t>
      </w:r>
      <w:commentRangeStart w:id="5"/>
      <w:commentRangeEnd w:id="5"/>
      <w:r>
        <w:rPr>
          <w:rStyle w:val="CommentReference"/>
        </w:rPr>
        <w:commentReference w:id="5"/>
      </w:r>
      <w:r>
        <w:t xml:space="preserve">;</w:t>
      </w:r>
      <w:r>
        <w:t xml:space="preserve"> </w:t>
      </w:r>
      <w:r>
        <w:t xml:space="preserve">[@moliere1671, s. 97]</w:t>
      </w:r>
      <w:r>
        <w:t xml:space="preserve">. [W oryginale: „En voici un autre qui a la mine d’un étranger” („Oto następny, który wygląda na cudzoziemca”); przekład Boya-Żeleńskiego nie zachowuje cudzoziemca, na którym opiera się wywód autorki – przyp. tłum.]</w:t>
      </w:r>
    </w:p>
  </w:footnote>
  <w:footnote w:id="79">
    <w:p>
      <w:pPr>
        <w:pStyle w:val="FootnoteText"/>
      </w:pPr>
      <w:r>
        <w:rPr>
          <w:rStyle w:val="FootnoteReference"/>
        </w:rPr>
        <w:footnoteRef/>
      </w:r>
      <w:r>
        <w:t xml:space="preserve"> </w:t>
      </w:r>
      <w:r>
        <w:t xml:space="preserve">„Nie ma pomiędzy nim a panem ani cienia podobieństwa; wiadomo panu zresztą, iż nie brak ludzi, którzy twierdzą, że on jest ojcem twoim jedynie w sensie formalnym”:</w:t>
      </w:r>
      <w:r>
        <w:t xml:space="preserve"> </w:t>
      </w:r>
      <w:r>
        <w:t xml:space="preserve">[@molier1922]</w:t>
      </w:r>
      <w:r>
        <w:t xml:space="preserve"> </w:t>
      </w:r>
      <w:commentRangeStart w:id="6"/>
      <w:commentRangeEnd w:id="6"/>
      <w:r>
        <w:rPr>
          <w:rStyle w:val="CommentReference"/>
        </w:rPr>
        <w:commentReference w:id="6"/>
      </w:r>
      <w:r>
        <w:t xml:space="preserve">;</w:t>
      </w:r>
      <w:r>
        <w:t xml:space="preserve"> </w:t>
      </w:r>
      <w:r>
        <w:t xml:space="preserve">[@moliere1671, s. 53]</w:t>
      </w:r>
      <w:r>
        <w:t xml:space="preserve">.</w:t>
      </w:r>
    </w:p>
  </w:footnote>
  <w:footnote w:id="80">
    <w:p>
      <w:pPr>
        <w:pStyle w:val="FootnoteText"/>
      </w:pPr>
      <w:r>
        <w:rPr>
          <w:rStyle w:val="FootnoteReference"/>
        </w:rPr>
        <w:footnoteRef/>
      </w:r>
      <w:r>
        <w:t xml:space="preserve"> </w:t>
      </w:r>
      <w:r>
        <w:t xml:space="preserve">[@mckee2008, s. 321]</w:t>
      </w:r>
      <w:r>
        <w:t xml:space="preserve">. Neapol pojawia się także w</w:t>
      </w:r>
      <w:r>
        <w:t xml:space="preserve"> </w:t>
      </w:r>
      <w:r>
        <w:rPr>
          <w:i/>
          <w:iCs/>
        </w:rPr>
        <w:t xml:space="preserve">Wartogłowie</w:t>
      </w:r>
      <w:r>
        <w:t xml:space="preserve"> </w:t>
      </w:r>
      <w:r>
        <w:t xml:space="preserve">(prapremiera 1655), pierwszej Molierowskiej adaptacji</w:t>
      </w:r>
      <w:r>
        <w:t xml:space="preserve"> </w:t>
      </w:r>
      <w:r>
        <w:rPr>
          <w:i/>
          <w:iCs/>
        </w:rPr>
        <w:t xml:space="preserve">Cyganiątka</w:t>
      </w:r>
      <w:r>
        <w:t xml:space="preserve"> </w:t>
      </w:r>
      <w:r>
        <w:t xml:space="preserve">i pre-tekście</w:t>
      </w:r>
      <w:r>
        <w:t xml:space="preserve"> </w:t>
      </w:r>
      <w:r>
        <w:rPr>
          <w:i/>
          <w:iCs/>
        </w:rPr>
        <w:t xml:space="preserve">Szelmostw Skapena</w:t>
      </w:r>
      <w:r>
        <w:t xml:space="preserve">, gdzie</w:t>
      </w:r>
      <w:r>
        <w:t xml:space="preserve"> </w:t>
      </w:r>
      <w:r>
        <w:rPr>
          <w:i/>
          <w:iCs/>
        </w:rPr>
        <w:t xml:space="preserve">senex</w:t>
      </w:r>
      <w:r>
        <w:t xml:space="preserve">-właściciel niewolników Trufaldin posiada jako niewolnicę młodą Clélie, którą kupił od romskiej gromady i która pod koniec sztuki okazuje się jego własną córką. Akcja sztuki toczy się w Mesynie na Sycylii, a Trufaldin, pozbawiony skrupułów handlarz niewolnikami, pochodzi z Neapolu, gdzie romska gromada porwała mu małe dziecko. W XVII wieku Mesyna i Neapol były głównymi włoskimi rynkami niewolników jeńców wojennych.</w:t>
      </w:r>
      <w:r>
        <w:t xml:space="preserve"> </w:t>
      </w:r>
      <w:r>
        <w:t xml:space="preserve">[@moliere1663, {w. 93–96}]</w:t>
      </w:r>
      <w:r>
        <w:t xml:space="preserve">.</w:t>
      </w:r>
    </w:p>
  </w:footnote>
  <w:footnote w:id="81">
    <w:p>
      <w:pPr>
        <w:pStyle w:val="FootnoteText"/>
      </w:pPr>
      <w:r>
        <w:rPr>
          <w:rStyle w:val="FootnoteReference"/>
        </w:rPr>
        <w:footnoteRef/>
      </w:r>
      <w:r>
        <w:t xml:space="preserve"> </w:t>
      </w:r>
      <w:r>
        <w:t xml:space="preserve">Ravenscroft, którego karierę znaczyła długotrwała fascynacja sztukami Moliera, mógł oglądać niektóre z jego dzieł w wykonaniu francuskich trup, które występowały w Cockpit Theatre na Drury Lane w latach 1672 i 1673: zob.</w:t>
      </w:r>
      <w:r>
        <w:t xml:space="preserve"> </w:t>
      </w:r>
      <w:r>
        <w:t xml:space="preserve">[@vanlennep1965, s. 256]</w:t>
      </w:r>
      <w:r>
        <w:t xml:space="preserve">. Jego decyzja o włączeniu Skaramusza do przeróbki Molierowskiego</w:t>
      </w:r>
      <w:r>
        <w:t xml:space="preserve"> </w:t>
      </w:r>
      <w:r>
        <w:rPr>
          <w:i/>
          <w:iCs/>
        </w:rPr>
        <w:t xml:space="preserve">Skapena</w:t>
      </w:r>
      <w:r>
        <w:t xml:space="preserve"> </w:t>
      </w:r>
      <w:r>
        <w:t xml:space="preserve">z 1677 roku świadczy o tym, że widział włoskich komediantów z Paryża pod kierunkiem Tiberia Fiorellego – lepiej znanego jako Scaramuccio – występujących w Whitehall w 1673 roku lub po 1675 roku, kiedy król pozwolił Fiorellemu założyć tymczasowy teatr publiczny w wielkim Banqueting House:</w:t>
      </w:r>
      <w:r>
        <w:t xml:space="preserve"> </w:t>
      </w:r>
      <w:r>
        <w:t xml:space="preserve">[@lawrence1912, s. 142–146]</w:t>
      </w:r>
      <w:r>
        <w:t xml:space="preserve">.</w:t>
      </w:r>
    </w:p>
  </w:footnote>
  <w:footnote w:id="82">
    <w:p>
      <w:pPr>
        <w:pStyle w:val="FootnoteText"/>
      </w:pPr>
      <w:r>
        <w:rPr>
          <w:rStyle w:val="FootnoteReference"/>
        </w:rPr>
        <w:footnoteRef/>
      </w:r>
      <w:r>
        <w:t xml:space="preserve"> </w:t>
      </w:r>
      <w:r>
        <w:t xml:space="preserve">[@ravenscroft1677, s. 20, 62–64]</w:t>
      </w:r>
      <w:r>
        <w:t xml:space="preserve">.</w:t>
      </w:r>
    </w:p>
  </w:footnote>
  <w:footnote w:id="83">
    <w:p>
      <w:pPr>
        <w:pStyle w:val="FootnoteText"/>
      </w:pPr>
      <w:r>
        <w:rPr>
          <w:rStyle w:val="FootnoteReference"/>
        </w:rPr>
        <w:footnoteRef/>
      </w:r>
      <w:r>
        <w:t xml:space="preserve"> </w:t>
      </w:r>
      <w:r>
        <w:t xml:space="preserve">[@cressy2016, s. 70]</w:t>
      </w:r>
      <w:r>
        <w:t xml:space="preserve">.</w:t>
      </w:r>
    </w:p>
  </w:footnote>
  <w:footnote w:id="84">
    <w:p>
      <w:pPr>
        <w:pStyle w:val="FootnoteText"/>
      </w:pPr>
      <w:r>
        <w:rPr>
          <w:rStyle w:val="FootnoteReference"/>
        </w:rPr>
        <w:footnoteRef/>
      </w:r>
      <w:r>
        <w:t xml:space="preserve"> </w:t>
      </w:r>
      <w:r>
        <w:t xml:space="preserve">[@matras2014, s. 146–147]</w:t>
      </w:r>
      <w:r>
        <w:t xml:space="preserve">.</w:t>
      </w:r>
    </w:p>
  </w:footnote>
  <w:footnote w:id="85">
    <w:p>
      <w:pPr>
        <w:pStyle w:val="FootnoteText"/>
      </w:pPr>
      <w:r>
        <w:rPr>
          <w:rStyle w:val="FootnoteReference"/>
        </w:rPr>
        <w:footnoteRef/>
      </w:r>
      <w:r>
        <w:t xml:space="preserve"> </w:t>
      </w:r>
      <w:r>
        <w:t xml:space="preserve">[@mayall2004, s. 61]</w:t>
      </w:r>
      <w:r>
        <w:t xml:space="preserve">.</w:t>
      </w:r>
    </w:p>
  </w:footnote>
  <w:footnote w:id="86">
    <w:p>
      <w:pPr>
        <w:pStyle w:val="FootnoteText"/>
      </w:pPr>
      <w:r>
        <w:rPr>
          <w:rStyle w:val="FootnoteReference"/>
        </w:rPr>
        <w:footnoteRef/>
      </w:r>
      <w:r>
        <w:t xml:space="preserve"> </w:t>
      </w:r>
      <w:r>
        <w:t xml:space="preserve">[@cressy2016, s. 66]</w:t>
      </w:r>
      <w:r>
        <w:t xml:space="preserve">.</w:t>
      </w:r>
    </w:p>
  </w:footnote>
  <w:footnote w:id="87">
    <w:p>
      <w:pPr>
        <w:pStyle w:val="FootnoteText"/>
      </w:pPr>
      <w:r>
        <w:rPr>
          <w:rStyle w:val="FootnoteReference"/>
        </w:rPr>
        <w:footnoteRef/>
      </w:r>
      <w:r>
        <w:t xml:space="preserve"> </w:t>
      </w:r>
      <w:r>
        <w:t xml:space="preserve">[@hitchcock2016, s. 28–30]</w:t>
      </w:r>
      <w:r>
        <w:t xml:space="preserve"> </w:t>
      </w:r>
      <w:r>
        <w:t xml:space="preserve">(cytat na s. 30).</w:t>
      </w:r>
    </w:p>
  </w:footnote>
  <w:footnote w:id="88">
    <w:p>
      <w:pPr>
        <w:pStyle w:val="FootnoteText"/>
      </w:pPr>
      <w:r>
        <w:rPr>
          <w:rStyle w:val="FootnoteReference"/>
        </w:rPr>
        <w:footnoteRef/>
      </w:r>
      <w:r>
        <w:t xml:space="preserve"> </w:t>
      </w:r>
      <w:r>
        <w:t xml:space="preserve">[@hitchcock2016, s. 5]</w:t>
      </w:r>
      <w:r>
        <w:t xml:space="preserve">.</w:t>
      </w:r>
    </w:p>
  </w:footnote>
  <w:footnote w:id="89">
    <w:p>
      <w:pPr>
        <w:pStyle w:val="FootnoteText"/>
      </w:pPr>
      <w:r>
        <w:rPr>
          <w:rStyle w:val="FootnoteReference"/>
        </w:rPr>
        <w:footnoteRef/>
      </w:r>
      <w:r>
        <w:t xml:space="preserve"> </w:t>
      </w:r>
      <w:r>
        <w:t xml:space="preserve">[@mayall2004, s. 42]</w:t>
      </w:r>
      <w:r>
        <w:t xml:space="preserve">.</w:t>
      </w:r>
    </w:p>
  </w:footnote>
  <w:footnote w:id="90">
    <w:p>
      <w:pPr>
        <w:pStyle w:val="FootnoteText"/>
      </w:pPr>
      <w:r>
        <w:rPr>
          <w:rStyle w:val="FootnoteReference"/>
        </w:rPr>
        <w:footnoteRef/>
      </w:r>
      <w:r>
        <w:t xml:space="preserve"> </w:t>
      </w:r>
      <w:r>
        <w:t xml:space="preserve">[@hornback2018, s. 35–65]</w:t>
      </w:r>
      <w:r>
        <w:t xml:space="preserve">. Do analizy Hornbacka dodałabym następujące świadectwo właściwe tej sztuce: wyraziwszy w wątku pobocznym pragnienie zostania filozofem, Arlekin Ravenscrofta rezygnuje z niego, gdy pojmuje, że powołanie to wymaga umiarkowania. Skaramusz nazywa go za to „bestio, bruto, animale”, a taka animalizacja współgra z rozmaitymi skryptami czarności, które analizuję w</w:t>
      </w:r>
      <w:r>
        <w:t xml:space="preserve"> </w:t>
      </w:r>
      <w:r>
        <w:t xml:space="preserve">[@ndiaye2022]</w:t>
      </w:r>
      <w:r>
        <w:t xml:space="preserve">.</w:t>
      </w:r>
    </w:p>
  </w:footnote>
  <w:footnote w:id="91">
    <w:p>
      <w:pPr>
        <w:pStyle w:val="FootnoteText"/>
      </w:pPr>
      <w:r>
        <w:rPr>
          <w:rStyle w:val="FootnoteReference"/>
        </w:rPr>
        <w:footnoteRef/>
      </w:r>
      <w:r>
        <w:t xml:space="preserve"> </w:t>
      </w:r>
      <w:r>
        <w:t xml:space="preserve">[@ravenscroft1672, s. 85]</w:t>
      </w:r>
      <w:r>
        <w:t xml:space="preserve">.</w:t>
      </w:r>
    </w:p>
  </w:footnote>
  <w:footnote w:id="92">
    <w:p>
      <w:pPr>
        <w:pStyle w:val="FootnoteText"/>
      </w:pPr>
      <w:r>
        <w:rPr>
          <w:rStyle w:val="FootnoteReference"/>
        </w:rPr>
        <w:footnoteRef/>
      </w:r>
      <w:r>
        <w:t xml:space="preserve"> </w:t>
      </w:r>
      <w:r>
        <w:t xml:space="preserve">[@ruggle1662, {k. S2r}]</w:t>
      </w:r>
      <w:r>
        <w:t xml:space="preserve">. Choć Theodorus, „pan”, regularnie nazywa Bannacara w angielskiej wersji sztuki Ruggle’a swoim „sługą”, zostaje on przeciwstawiony poprzedniemu panu Bannacara, Alfonsowi, właścicielowi niewolników, który wyzwolił go w chwili swojej śmierci.</w:t>
      </w:r>
      <w:r>
        <w:t xml:space="preserve"> </w:t>
      </w:r>
      <w:r>
        <w:t xml:space="preserve">[@ruggle1662, {k. S4r}]</w:t>
      </w:r>
      <w:r>
        <w:t xml:space="preserve">.</w:t>
      </w:r>
    </w:p>
  </w:footnote>
  <w:footnote w:id="93">
    <w:p>
      <w:pPr>
        <w:pStyle w:val="FootnoteText"/>
      </w:pPr>
      <w:r>
        <w:rPr>
          <w:rStyle w:val="FootnoteReference"/>
        </w:rPr>
        <w:footnoteRef/>
      </w:r>
      <w:r>
        <w:t xml:space="preserve"> </w:t>
      </w:r>
      <w:r>
        <w:t xml:space="preserve">Ravenscroft postanowił także wyciąć ze sztuki Ruggle’a sprośną scenę z udziałem kobiet świadczących usługi seksualne różnych narodowości, w tym czarnoskórej Maurki:</w:t>
      </w:r>
      <w:r>
        <w:t xml:space="preserve"> </w:t>
      </w:r>
      <w:r>
        <w:t xml:space="preserve">[@ruggle1662, {k. D4r}]</w:t>
      </w:r>
      <w:r>
        <w:t xml:space="preserve">. Sztuka ta nie zwróciła dotąd uwagi badaczy rasy we wczesnej nowożytności.</w:t>
      </w:r>
    </w:p>
  </w:footnote>
  <w:footnote w:id="94">
    <w:p>
      <w:pPr>
        <w:pStyle w:val="FootnoteText"/>
      </w:pPr>
      <w:r>
        <w:rPr>
          <w:rStyle w:val="FootnoteReference"/>
        </w:rPr>
        <w:footnoteRef/>
      </w:r>
      <w:r>
        <w:t xml:space="preserve"> </w:t>
      </w:r>
      <w:r>
        <w:t xml:space="preserve">[@phillips2008, s. 145–152]</w:t>
      </w:r>
      <w:r>
        <w:t xml:space="preserve">.</w:t>
      </w:r>
    </w:p>
  </w:footnote>
  <w:footnote w:id="95">
    <w:p>
      <w:pPr>
        <w:pStyle w:val="FootnoteText"/>
      </w:pPr>
      <w:r>
        <w:rPr>
          <w:rStyle w:val="FootnoteReference"/>
        </w:rPr>
        <w:footnoteRef/>
      </w:r>
      <w:r>
        <w:t xml:space="preserve"> </w:t>
      </w:r>
      <w:r>
        <w:t xml:space="preserve">[@ravenscroft1677, s. 74]</w:t>
      </w:r>
      <w:r>
        <w:t xml:space="preserve">.</w:t>
      </w:r>
    </w:p>
  </w:footnote>
  <w:footnote w:id="96">
    <w:p>
      <w:pPr>
        <w:pStyle w:val="FootnoteText"/>
      </w:pPr>
      <w:r>
        <w:rPr>
          <w:rStyle w:val="FootnoteReference"/>
        </w:rPr>
        <w:footnoteRef/>
      </w:r>
      <w:r>
        <w:t xml:space="preserve"> </w:t>
      </w:r>
      <w:r>
        <w:t xml:space="preserve">[@ravenscroft1677, s. 81, 80]</w:t>
      </w:r>
      <w:r>
        <w:t xml:space="preserve">.</w:t>
      </w:r>
    </w:p>
  </w:footnote>
  <w:footnote w:id="97">
    <w:p>
      <w:pPr>
        <w:pStyle w:val="FootnoteText"/>
      </w:pPr>
      <w:r>
        <w:rPr>
          <w:rStyle w:val="FootnoteReference"/>
        </w:rPr>
        <w:footnoteRef/>
      </w:r>
      <w:r>
        <w:t xml:space="preserve"> </w:t>
      </w:r>
      <w:r>
        <w:t xml:space="preserve">[@ravenscroft1677, s. 80–81]</w:t>
      </w:r>
      <w:r>
        <w:t xml:space="preserve">.</w:t>
      </w:r>
    </w:p>
  </w:footnote>
  <w:footnote w:id="98">
    <w:p>
      <w:pPr>
        <w:pStyle w:val="FootnoteText"/>
      </w:pPr>
      <w:r>
        <w:rPr>
          <w:rStyle w:val="FootnoteReference"/>
        </w:rPr>
        <w:footnoteRef/>
      </w:r>
      <w:r>
        <w:t xml:space="preserve"> </w:t>
      </w:r>
      <w:r>
        <w:t xml:space="preserve">[@ravenscroft1677, s. 9]</w:t>
      </w:r>
      <w:r>
        <w:t xml:space="preserve">.</w:t>
      </w:r>
    </w:p>
  </w:footnote>
  <w:footnote w:id="99">
    <w:p>
      <w:pPr>
        <w:pStyle w:val="FootnoteText"/>
      </w:pPr>
      <w:r>
        <w:rPr>
          <w:rStyle w:val="FootnoteReference"/>
        </w:rPr>
        <w:footnoteRef/>
      </w:r>
      <w:r>
        <w:t xml:space="preserve"> </w:t>
      </w:r>
      <w:r>
        <w:t xml:space="preserve">O estetyce widowiska rasowego w teatrze okresu Restauracji zob.</w:t>
      </w:r>
      <w:r>
        <w:t xml:space="preserve"> </w:t>
      </w:r>
      <w:r>
        <w:t xml:space="preserve">[@thompson2008]</w:t>
      </w:r>
      <w:r>
        <w:t xml:space="preserve">.</w:t>
      </w:r>
    </w:p>
  </w:footnote>
  <w:footnote w:id="100">
    <w:p>
      <w:pPr>
        <w:pStyle w:val="FootnoteText"/>
      </w:pPr>
      <w:r>
        <w:rPr>
          <w:rStyle w:val="FootnoteReference"/>
        </w:rPr>
        <w:footnoteRef/>
      </w:r>
      <w:r>
        <w:t xml:space="preserve"> </w:t>
      </w:r>
      <w:r>
        <w:t xml:space="preserve">[@brome, {akt 4, sc. 1, w. 883}]</w:t>
      </w:r>
      <w:r>
        <w:t xml:space="preserve">.</w:t>
      </w:r>
    </w:p>
  </w:footnote>
  <w:footnote w:id="101">
    <w:p>
      <w:pPr>
        <w:pStyle w:val="FootnoteText"/>
      </w:pPr>
      <w:r>
        <w:rPr>
          <w:rStyle w:val="FootnoteReference"/>
        </w:rPr>
        <w:footnoteRef/>
      </w:r>
      <w:r>
        <w:t xml:space="preserve"> </w:t>
      </w:r>
      <w:r>
        <w:t xml:space="preserve">[@brome, {akt 4, sc. 1, w. 782–806}]</w:t>
      </w:r>
      <w:r>
        <w:t xml:space="preserve">.</w:t>
      </w:r>
    </w:p>
  </w:footnote>
  <w:footnote w:id="102">
    <w:p>
      <w:pPr>
        <w:pStyle w:val="FootnoteText"/>
      </w:pPr>
      <w:r>
        <w:rPr>
          <w:rStyle w:val="FootnoteReference"/>
        </w:rPr>
        <w:footnoteRef/>
      </w:r>
      <w:r>
        <w:t xml:space="preserve"> </w:t>
      </w:r>
      <w:r>
        <w:t xml:space="preserve">[@carlell1657, s. 52–54]</w:t>
      </w:r>
      <w:r>
        <w:t xml:space="preserve">.</w:t>
      </w:r>
    </w:p>
  </w:footnote>
  <w:footnote w:id="103">
    <w:p>
      <w:pPr>
        <w:pStyle w:val="FootnoteText"/>
      </w:pPr>
      <w:r>
        <w:rPr>
          <w:rStyle w:val="FootnoteReference"/>
        </w:rPr>
        <w:footnoteRef/>
      </w:r>
      <w:r>
        <w:t xml:space="preserve"> </w:t>
      </w:r>
      <w:r>
        <w:t xml:space="preserve">[@carlell1657, s. 65]</w:t>
      </w:r>
      <w:r>
        <w:t xml:space="preserve">.</w:t>
      </w:r>
    </w:p>
  </w:footnote>
  <w:footnote w:id="104">
    <w:p>
      <w:pPr>
        <w:pStyle w:val="FootnoteText"/>
      </w:pPr>
      <w:r>
        <w:rPr>
          <w:rStyle w:val="FootnoteReference"/>
        </w:rPr>
        <w:footnoteRef/>
      </w:r>
      <w:r>
        <w:t xml:space="preserve"> </w:t>
      </w:r>
      <w:r>
        <w:t xml:space="preserve">[@harbage1940, s. 203]</w:t>
      </w:r>
      <w:r>
        <w:t xml:space="preserve">.</w:t>
      </w:r>
    </w:p>
  </w:footnote>
  <w:footnote w:id="105">
    <w:p>
      <w:pPr>
        <w:pStyle w:val="FootnoteText"/>
      </w:pPr>
      <w:r>
        <w:rPr>
          <w:rStyle w:val="FootnoteReference"/>
        </w:rPr>
        <w:footnoteRef/>
      </w:r>
      <w:r>
        <w:t xml:space="preserve"> </w:t>
      </w:r>
      <w:r>
        <w:t xml:space="preserve">[@vanlennep1965, s. 37]</w:t>
      </w:r>
      <w:r>
        <w:t xml:space="preserve">.</w:t>
      </w:r>
    </w:p>
  </w:footnote>
  <w:footnote w:id="106">
    <w:p>
      <w:pPr>
        <w:pStyle w:val="FootnoteText"/>
      </w:pPr>
      <w:r>
        <w:rPr>
          <w:rStyle w:val="FootnoteReference"/>
        </w:rPr>
        <w:footnoteRef/>
      </w:r>
      <w:r>
        <w:t xml:space="preserve"> </w:t>
      </w:r>
      <w:r>
        <w:t xml:space="preserve">Komentując nazwiska autorów dwóch pozostałych sztuk w wydaniu z 1662 roku, Frederick Gard Fleay pisze: „Zastąpienie Haughtona przez I. T. jako autora</w:t>
      </w:r>
      <w:r>
        <w:t xml:space="preserve"> </w:t>
      </w:r>
      <w:r>
        <w:rPr>
          <w:i/>
          <w:iCs/>
        </w:rPr>
        <w:t xml:space="preserve">Grim</w:t>
      </w:r>
      <w:r>
        <w:t xml:space="preserve"> </w:t>
      </w:r>
      <w:r>
        <w:t xml:space="preserve">rzuca cień wątpliwości na autentyczność M. W. i T. W.”:</w:t>
      </w:r>
      <w:r>
        <w:t xml:space="preserve"> </w:t>
      </w:r>
      <w:r>
        <w:t xml:space="preserve">[@fleay1891, s. 266]</w:t>
      </w:r>
      <w:r>
        <w:t xml:space="preserve">.</w:t>
      </w:r>
    </w:p>
  </w:footnote>
  <w:footnote w:id="107">
    <w:p>
      <w:pPr>
        <w:pStyle w:val="FootnoteText"/>
      </w:pPr>
      <w:r>
        <w:rPr>
          <w:rStyle w:val="FootnoteReference"/>
        </w:rPr>
        <w:footnoteRef/>
      </w:r>
      <w:r>
        <w:t xml:space="preserve"> </w:t>
      </w:r>
      <w:r>
        <w:t xml:space="preserve">[@mw1662, s. 30]</w:t>
      </w:r>
      <w:r>
        <w:t xml:space="preserve">.</w:t>
      </w:r>
    </w:p>
  </w:footnote>
  <w:footnote w:id="108">
    <w:p>
      <w:pPr>
        <w:pStyle w:val="FootnoteText"/>
      </w:pPr>
      <w:r>
        <w:rPr>
          <w:rStyle w:val="FootnoteReference"/>
        </w:rPr>
        <w:footnoteRef/>
      </w:r>
      <w:r>
        <w:t xml:space="preserve"> </w:t>
      </w:r>
      <w:r>
        <w:t xml:space="preserve">[@mw1662, s. 34–36]</w:t>
      </w:r>
      <w:r>
        <w:t xml:space="preserve">.</w:t>
      </w:r>
    </w:p>
  </w:footnote>
  <w:footnote w:id="109">
    <w:p>
      <w:pPr>
        <w:pStyle w:val="FootnoteText"/>
      </w:pPr>
      <w:r>
        <w:rPr>
          <w:rStyle w:val="FootnoteReference"/>
        </w:rPr>
        <w:footnoteRef/>
      </w:r>
      <w:r>
        <w:t xml:space="preserve"> </w:t>
      </w:r>
      <w:r>
        <w:t xml:space="preserve">[@mw1662, s. 34]</w:t>
      </w:r>
      <w:r>
        <w:t xml:space="preserve">.</w:t>
      </w:r>
    </w:p>
  </w:footnote>
  <w:footnote w:id="110">
    <w:p>
      <w:pPr>
        <w:pStyle w:val="FootnoteText"/>
      </w:pPr>
      <w:r>
        <w:rPr>
          <w:rStyle w:val="FootnoteReference"/>
        </w:rPr>
        <w:footnoteRef/>
      </w:r>
      <w:r>
        <w:t xml:space="preserve"> </w:t>
      </w:r>
      <w:r>
        <w:t xml:space="preserve">[@mw1662, s. 45]</w:t>
      </w:r>
      <w:r>
        <w:t xml:space="preserve">.</w:t>
      </w:r>
    </w:p>
  </w:footnote>
  <w:footnote w:id="111">
    <w:p>
      <w:pPr>
        <w:pStyle w:val="FootnoteText"/>
      </w:pPr>
      <w:r>
        <w:rPr>
          <w:rStyle w:val="FootnoteReference"/>
        </w:rPr>
        <w:footnoteRef/>
      </w:r>
      <w:r>
        <w:t xml:space="preserve"> </w:t>
      </w:r>
      <w:r>
        <w:t xml:space="preserve">[@mw1662, s. 44]</w:t>
      </w:r>
      <w:r>
        <w:t xml:space="preserve">.</w:t>
      </w:r>
    </w:p>
  </w:footnote>
  <w:footnote w:id="112">
    <w:p>
      <w:pPr>
        <w:pStyle w:val="FootnoteText"/>
      </w:pPr>
      <w:r>
        <w:rPr>
          <w:rStyle w:val="FootnoteReference"/>
        </w:rPr>
        <w:footnoteRef/>
      </w:r>
      <w:r>
        <w:t xml:space="preserve"> </w:t>
      </w:r>
      <w:r>
        <w:t xml:space="preserve">[@mw1662, s. 45]</w:t>
      </w:r>
      <w:r>
        <w:t xml:space="preserve">.</w:t>
      </w:r>
    </w:p>
  </w:footnote>
  <w:footnote w:id="113">
    <w:p>
      <w:pPr>
        <w:pStyle w:val="FootnoteText"/>
      </w:pPr>
      <w:r>
        <w:rPr>
          <w:rStyle w:val="FootnoteReference"/>
        </w:rPr>
        <w:footnoteRef/>
      </w:r>
      <w:r>
        <w:t xml:space="preserve"> </w:t>
      </w:r>
      <w:r>
        <w:t xml:space="preserve">[@mw1662, s. 47]</w:t>
      </w:r>
      <w:r>
        <w:t xml:space="preserve">.</w:t>
      </w:r>
    </w:p>
  </w:footnote>
  <w:footnote w:id="114">
    <w:p>
      <w:pPr>
        <w:pStyle w:val="FootnoteText"/>
      </w:pPr>
      <w:r>
        <w:rPr>
          <w:rStyle w:val="FootnoteReference"/>
        </w:rPr>
        <w:footnoteRef/>
      </w:r>
      <w:r>
        <w:t xml:space="preserve"> </w:t>
      </w:r>
      <w:r>
        <w:t xml:space="preserve">[@mw1662, s. 36]</w:t>
      </w:r>
      <w:r>
        <w:t xml:space="preserve">.</w:t>
      </w:r>
    </w:p>
  </w:footnote>
  <w:footnote w:id="115">
    <w:p>
      <w:pPr>
        <w:pStyle w:val="FootnoteText"/>
      </w:pPr>
      <w:r>
        <w:rPr>
          <w:rStyle w:val="FootnoteReference"/>
        </w:rPr>
        <w:footnoteRef/>
      </w:r>
      <w:r>
        <w:t xml:space="preserve"> </w:t>
      </w:r>
      <w:r>
        <w:t xml:space="preserve">[@mw1662, s. 34]</w:t>
      </w:r>
      <w:r>
        <w:t xml:space="preserve">.</w:t>
      </w:r>
    </w:p>
  </w:footnote>
  <w:footnote w:id="116">
    <w:p>
      <w:pPr>
        <w:pStyle w:val="FootnoteText"/>
      </w:pPr>
      <w:r>
        <w:rPr>
          <w:rStyle w:val="FootnoteReference"/>
        </w:rPr>
        <w:footnoteRef/>
      </w:r>
      <w:r>
        <w:t xml:space="preserve"> </w:t>
      </w:r>
      <w:r>
        <w:t xml:space="preserve">[@mw1662, s. 45]</w:t>
      </w:r>
      <w:r>
        <w:t xml:space="preserve">.</w:t>
      </w:r>
    </w:p>
  </w:footnote>
  <w:footnote w:id="117">
    <w:p>
      <w:pPr>
        <w:pStyle w:val="FootnoteText"/>
      </w:pPr>
      <w:r>
        <w:rPr>
          <w:rStyle w:val="FootnoteReference"/>
        </w:rPr>
        <w:footnoteRef/>
      </w:r>
      <w:r>
        <w:t xml:space="preserve"> </w:t>
      </w:r>
      <w:r>
        <w:t xml:space="preserve">„Cicho, bo nauczę waszą cygańskość trochę manier”:</w:t>
      </w:r>
      <w:r>
        <w:t xml:space="preserve"> </w:t>
      </w:r>
      <w:r>
        <w:t xml:space="preserve">[@mw1662, s. 60]</w:t>
      </w:r>
      <w:r>
        <w:t xml:space="preserve">.</w:t>
      </w:r>
    </w:p>
  </w:footnote>
  <w:footnote w:id="118">
    <w:p>
      <w:pPr>
        <w:pStyle w:val="FootnoteText"/>
      </w:pPr>
      <w:r>
        <w:rPr>
          <w:rStyle w:val="FootnoteReference"/>
        </w:rPr>
        <w:footnoteRef/>
      </w:r>
      <w:r>
        <w:t xml:space="preserve"> </w:t>
      </w:r>
      <w:r>
        <w:t xml:space="preserve">[@mw1662, s. 76]</w:t>
      </w:r>
      <w:r>
        <w:t xml:space="preserve">.</w:t>
      </w:r>
    </w:p>
  </w:footnote>
  <w:footnote w:id="119">
    <w:p>
      <w:pPr>
        <w:pStyle w:val="FootnoteText"/>
      </w:pPr>
      <w:r>
        <w:rPr>
          <w:rStyle w:val="FootnoteReference"/>
        </w:rPr>
        <w:footnoteRef/>
      </w:r>
      <w:r>
        <w:t xml:space="preserve"> </w:t>
      </w:r>
      <w:r>
        <w:t xml:space="preserve">[@mw1662, s. 77]</w:t>
      </w:r>
      <w:r>
        <w:t xml:space="preserve">.</w:t>
      </w:r>
    </w:p>
  </w:footnote>
  <w:footnote w:id="120">
    <w:p>
      <w:pPr>
        <w:pStyle w:val="FootnoteText"/>
      </w:pPr>
      <w:r>
        <w:rPr>
          <w:rStyle w:val="FootnoteReference"/>
        </w:rPr>
        <w:footnoteRef/>
      </w:r>
      <w:r>
        <w:t xml:space="preserve"> </w:t>
      </w:r>
      <w:r>
        <w:t xml:space="preserve">[@mw1662, s. 78]</w:t>
      </w:r>
      <w:r>
        <w:t xml:space="preserve">.</w:t>
      </w:r>
    </w:p>
  </w:footnote>
  <w:footnote w:id="121">
    <w:p>
      <w:pPr>
        <w:pStyle w:val="FootnoteText"/>
      </w:pPr>
      <w:r>
        <w:rPr>
          <w:rStyle w:val="FootnoteReference"/>
        </w:rPr>
        <w:footnoteRef/>
      </w:r>
      <w:r>
        <w:t xml:space="preserve"> </w:t>
      </w:r>
      <w:r>
        <w:t xml:space="preserve">[@mw1662, s. 79]</w:t>
      </w:r>
      <w:r>
        <w:t xml:space="preserve">.</w:t>
      </w:r>
    </w:p>
  </w:footnote>
  <w:footnote w:id="122">
    <w:p>
      <w:pPr>
        <w:pStyle w:val="FootnoteText"/>
      </w:pPr>
      <w:r>
        <w:rPr>
          <w:rStyle w:val="FootnoteReference"/>
        </w:rPr>
        <w:footnoteRef/>
      </w:r>
      <w:r>
        <w:t xml:space="preserve"> </w:t>
      </w:r>
      <w:r>
        <w:t xml:space="preserve">[@hong2024]</w:t>
      </w:r>
      <w:r>
        <w:t xml:space="preserve">;</w:t>
      </w:r>
      <w:r>
        <w:t xml:space="preserve"> </w:t>
      </w:r>
      <w:r>
        <w:t xml:space="preserve">[@parkhong2021, s. 198]</w:t>
      </w:r>
      <w:r>
        <w:t xml:space="preserve">.</w:t>
      </w:r>
    </w:p>
  </w:footnote>
  <w:footnote w:id="123">
    <w:p>
      <w:pPr>
        <w:pStyle w:val="FootnoteText"/>
      </w:pPr>
      <w:r>
        <w:rPr>
          <w:rStyle w:val="FootnoteReference"/>
        </w:rPr>
        <w:footnoteRef/>
      </w:r>
      <w:r>
        <w:t xml:space="preserve"> </w:t>
      </w:r>
      <w:r>
        <w:t xml:space="preserve">Ten topos i jego zastosowanie w całej Europie Zachodniej szczegółowo badam w</w:t>
      </w:r>
      <w:r>
        <w:t xml:space="preserve"> </w:t>
      </w:r>
      <w:r>
        <w:t xml:space="preserve">[@ndiaye2022]</w:t>
      </w:r>
      <w:r>
        <w:t xml:space="preserve">. Co ciekawe,</w:t>
      </w:r>
      <w:r>
        <w:t xml:space="preserve"> </w:t>
      </w:r>
      <w:r>
        <w:rPr>
          <w:i/>
          <w:iCs/>
        </w:rPr>
        <w:t xml:space="preserve">The marriage broaker</w:t>
      </w:r>
      <w:r>
        <w:t xml:space="preserve"> </w:t>
      </w:r>
      <w:r>
        <w:t xml:space="preserve">nadaje temu toposowi nowy obrót, przemieniając czarność zniewolonego Afrykanina, pod którego podszywa się Friendly, w karę za bycie niewiernym kochankiem: „Niegdyś przypadło mi w udziale / Być kochanym; o, jakże niegodny byłem / Być kochanym przez kogoś tak dobrego, tak pięknego! / Kogo jednak moja młodzieńcza beztroska czy duma / Tak zaniedbała, że miłość w odwecie / Poraziła mnie tą zasłużoną szpetotą”:</w:t>
      </w:r>
      <w:r>
        <w:t xml:space="preserve"> </w:t>
      </w:r>
      <w:r>
        <w:t xml:space="preserve">[@mw1662, s. 48]</w:t>
      </w:r>
      <w:r>
        <w:t xml:space="preserve">.</w:t>
      </w:r>
    </w:p>
  </w:footnote>
  <w:footnote w:id="124">
    <w:p>
      <w:pPr>
        <w:pStyle w:val="FootnoteText"/>
      </w:pPr>
      <w:r>
        <w:rPr>
          <w:rStyle w:val="FootnoteReference"/>
        </w:rPr>
        <w:footnoteRef/>
      </w:r>
      <w:r>
        <w:t xml:space="preserve"> </w:t>
      </w:r>
      <w:r>
        <w:t xml:space="preserve">[@mw1662, s. 30]</w:t>
      </w:r>
      <w:r>
        <w:t xml:space="preserve">.</w:t>
      </w:r>
    </w:p>
  </w:footnote>
  <w:footnote w:id="125">
    <w:p>
      <w:pPr>
        <w:pStyle w:val="FootnoteText"/>
      </w:pPr>
      <w:r>
        <w:rPr>
          <w:rStyle w:val="FootnoteReference"/>
        </w:rPr>
        <w:footnoteRef/>
      </w:r>
      <w:r>
        <w:t xml:space="preserve"> </w:t>
      </w:r>
      <w:r>
        <w:t xml:space="preserve">[@mw1662, s. 79]</w:t>
      </w:r>
      <w:r>
        <w:t xml:space="preserve">.</w:t>
      </w:r>
    </w:p>
  </w:footnote>
  <w:footnote w:id="126">
    <w:p>
      <w:pPr>
        <w:pStyle w:val="FootnoteText"/>
      </w:pPr>
      <w:r>
        <w:rPr>
          <w:rStyle w:val="FootnoteReference"/>
        </w:rPr>
        <w:footnoteRef/>
      </w:r>
      <w:r>
        <w:t xml:space="preserve"> </w:t>
      </w:r>
      <w:r>
        <w:t xml:space="preserve">[@mw1662, s. 7]</w:t>
      </w:r>
      <w:r>
        <w:t xml:space="preserve">.</w:t>
      </w:r>
    </w:p>
  </w:footnote>
  <w:footnote w:id="127">
    <w:p>
      <w:pPr>
        <w:pStyle w:val="FootnoteText"/>
      </w:pPr>
      <w:r>
        <w:rPr>
          <w:rStyle w:val="FootnoteReference"/>
        </w:rPr>
        <w:footnoteRef/>
      </w:r>
      <w:r>
        <w:t xml:space="preserve"> </w:t>
      </w:r>
      <w:r>
        <w:t xml:space="preserve">[@mw1662, s. 20]</w:t>
      </w:r>
      <w:r>
        <w:t xml:space="preserve">.</w:t>
      </w:r>
    </w:p>
  </w:footnote>
  <w:footnote w:id="128">
    <w:p>
      <w:pPr>
        <w:pStyle w:val="FootnoteText"/>
      </w:pPr>
      <w:r>
        <w:rPr>
          <w:rStyle w:val="FootnoteReference"/>
        </w:rPr>
        <w:footnoteRef/>
      </w:r>
      <w:r>
        <w:t xml:space="preserve"> </w:t>
      </w:r>
      <w:r>
        <w:t xml:space="preserve">[@mw1662, s. 20]</w:t>
      </w:r>
      <w:r>
        <w:t xml:space="preserve">.</w:t>
      </w:r>
    </w:p>
  </w:footnote>
  <w:footnote w:id="129">
    <w:p>
      <w:pPr>
        <w:pStyle w:val="FootnoteText"/>
      </w:pPr>
      <w:r>
        <w:rPr>
          <w:rStyle w:val="FootnoteReference"/>
        </w:rPr>
        <w:footnoteRef/>
      </w:r>
      <w:r>
        <w:t xml:space="preserve"> </w:t>
      </w:r>
      <w:r>
        <w:t xml:space="preserve">[@mw1662, s. 20]</w:t>
      </w:r>
      <w:r>
        <w:t xml:space="preserve">.</w:t>
      </w:r>
    </w:p>
  </w:footnote>
  <w:footnote w:id="130">
    <w:p>
      <w:pPr>
        <w:pStyle w:val="FootnoteText"/>
      </w:pPr>
      <w:r>
        <w:rPr>
          <w:rStyle w:val="FootnoteReference"/>
        </w:rPr>
        <w:footnoteRef/>
      </w:r>
      <w:r>
        <w:t xml:space="preserve"> </w:t>
      </w:r>
      <w:r>
        <w:t xml:space="preserve">O użyciu retoryki płci do ujmowania podboju kolonialnego zob.</w:t>
      </w:r>
      <w:r>
        <w:t xml:space="preserve"> </w:t>
      </w:r>
      <w:r>
        <w:t xml:space="preserve">[@hutner2001]</w:t>
      </w:r>
      <w:r>
        <w:t xml:space="preserve">; różne eseje w</w:t>
      </w:r>
      <w:r>
        <w:t xml:space="preserve"> </w:t>
      </w:r>
      <w:r>
        <w:t xml:space="preserve">[@hendricks1994; @nocentelli2013]</w:t>
      </w:r>
      <w:r>
        <w:t xml:space="preserve">.</w:t>
      </w:r>
    </w:p>
  </w:footnote>
  <w:footnote w:id="131">
    <w:p>
      <w:pPr>
        <w:pStyle w:val="FootnoteText"/>
      </w:pPr>
      <w:r>
        <w:rPr>
          <w:rStyle w:val="FootnoteReference"/>
        </w:rPr>
        <w:footnoteRef/>
      </w:r>
      <w:r>
        <w:t xml:space="preserve"> </w:t>
      </w:r>
      <w:r>
        <w:t xml:space="preserve">[@mw1662, s. 9]</w:t>
      </w:r>
      <w:r>
        <w:t xml:space="preserve">.</w:t>
      </w:r>
    </w:p>
  </w:footnote>
  <w:footnote w:id="132">
    <w:p>
      <w:pPr>
        <w:pStyle w:val="FootnoteText"/>
      </w:pPr>
      <w:r>
        <w:rPr>
          <w:rStyle w:val="FootnoteReference"/>
        </w:rPr>
        <w:footnoteRef/>
      </w:r>
      <w:r>
        <w:t xml:space="preserve"> </w:t>
      </w:r>
      <w:r>
        <w:t xml:space="preserve">[@jaffeberg2015, s. 115–116]</w:t>
      </w:r>
      <w:r>
        <w:t xml:space="preserve">.</w:t>
      </w:r>
    </w:p>
  </w:footnote>
  <w:footnote w:id="133">
    <w:p>
      <w:pPr>
        <w:pStyle w:val="FootnoteText"/>
      </w:pPr>
      <w:r>
        <w:rPr>
          <w:rStyle w:val="FootnoteReference"/>
        </w:rPr>
        <w:footnoteRef/>
      </w:r>
      <w:r>
        <w:t xml:space="preserve"> </w:t>
      </w:r>
      <w:r>
        <w:t xml:space="preserve">[@chang2020, s. 167]</w:t>
      </w:r>
      <w:r>
        <w:t xml:space="preserve">.</w:t>
      </w:r>
    </w:p>
  </w:footnote>
  <w:footnote w:id="134">
    <w:p>
      <w:pPr>
        <w:pStyle w:val="FootnoteText"/>
      </w:pPr>
      <w:r>
        <w:rPr>
          <w:rStyle w:val="FootnoteReference"/>
        </w:rPr>
        <w:footnoteRef/>
      </w:r>
      <w:r>
        <w:t xml:space="preserve"> </w:t>
      </w:r>
      <w:r>
        <w:t xml:space="preserve">[@brooks2012, s. 7–8]</w:t>
      </w:r>
      <w:r>
        <w:t xml:space="preserve">.</w:t>
      </w:r>
    </w:p>
  </w:footnote>
  <w:footnote w:id="135">
    <w:p>
      <w:pPr>
        <w:pStyle w:val="FootnoteText"/>
      </w:pPr>
      <w:r>
        <w:rPr>
          <w:rStyle w:val="FootnoteReference"/>
        </w:rPr>
        <w:footnoteRef/>
      </w:r>
      <w:r>
        <w:t xml:space="preserve"> </w:t>
      </w:r>
      <w:r>
        <w:t xml:space="preserve">[@wagner2019]</w:t>
      </w:r>
      <w:r>
        <w:t xml:space="preserve">.</w:t>
      </w:r>
    </w:p>
  </w:footnote>
  <w:footnote w:id="136">
    <w:p>
      <w:pPr>
        <w:pStyle w:val="FootnoteText"/>
      </w:pPr>
      <w:r>
        <w:rPr>
          <w:rStyle w:val="FootnoteReference"/>
        </w:rPr>
        <w:footnoteRef/>
      </w:r>
      <w:r>
        <w:t xml:space="preserve"> </w:t>
      </w:r>
      <w:r>
        <w:t xml:space="preserve">[@kocze2020, s. 140]</w:t>
      </w:r>
      <w:r>
        <w:t xml:space="preserve">.</w:t>
      </w:r>
    </w:p>
  </w:footnote>
  <w:footnote w:id="137">
    <w:p>
      <w:pPr>
        <w:pStyle w:val="FootnoteText"/>
      </w:pPr>
      <w:r>
        <w:rPr>
          <w:rStyle w:val="FootnoteReference"/>
        </w:rPr>
        <w:footnoteRef/>
      </w:r>
      <w:r>
        <w:t xml:space="preserve"> </w:t>
      </w:r>
      <w:r>
        <w:t xml:space="preserve">[@matache2018]</w:t>
      </w:r>
      <w:r>
        <w:t xml:space="preserve">.</w:t>
      </w:r>
    </w:p>
  </w:footnote>
  <w:footnote w:id="138">
    <w:p>
      <w:pPr>
        <w:pStyle w:val="FootnoteText"/>
      </w:pPr>
      <w:r>
        <w:rPr>
          <w:rStyle w:val="FootnoteReference"/>
        </w:rPr>
        <w:footnoteRef/>
      </w:r>
      <w:r>
        <w:t xml:space="preserve"> </w:t>
      </w:r>
      <w:r>
        <w:t xml:space="preserve">[@chang2020, s. 1]</w:t>
      </w:r>
      <w:r>
        <w:t xml:space="preserve">.</w:t>
      </w:r>
    </w:p>
  </w:footnote>
  <w:footnote w:id="139">
    <w:p>
      <w:pPr>
        <w:pStyle w:val="FootnoteText"/>
      </w:pPr>
      <w:r>
        <w:rPr>
          <w:rStyle w:val="FootnoteReference"/>
        </w:rPr>
        <w:footnoteRef/>
      </w:r>
      <w:r>
        <w:t xml:space="preserve"> </w:t>
      </w:r>
      <w:r>
        <w:t xml:space="preserve">[@plesiat2010, s. 65–66]</w:t>
      </w:r>
      <w:r>
        <w:t xml:space="preserve">. Zob. też</w:t>
      </w:r>
      <w:r>
        <w:t xml:space="preserve"> </w:t>
      </w:r>
      <w:r>
        <w:t xml:space="preserve">[@filhol2013, s. 270]</w:t>
      </w:r>
      <w:r>
        <w:t xml:space="preserve"> </w:t>
      </w:r>
      <w:r>
        <w:t xml:space="preserve">oraz</w:t>
      </w:r>
      <w:r>
        <w:t xml:space="preserve"> </w:t>
      </w:r>
      <w:r>
        <w:t xml:space="preserve">[@cathelin2004]</w:t>
      </w:r>
      <w:r>
        <w:t xml:space="preserve"> </w:t>
      </w:r>
      <w:r>
        <w:t xml:space="preserve">– oboje wskazują podobną dynamikę w społecznościach romskich na południu Francji.</w:t>
      </w:r>
    </w:p>
  </w:footnote>
  <w:footnote w:id="140">
    <w:p>
      <w:pPr>
        <w:pStyle w:val="FootnoteText"/>
      </w:pPr>
      <w:r>
        <w:rPr>
          <w:rStyle w:val="FootnoteReference"/>
        </w:rPr>
        <w:footnoteRef/>
      </w:r>
      <w:r>
        <w:t xml:space="preserve"> </w:t>
      </w:r>
      <w:r>
        <w:t xml:space="preserve">[@lowe2015, s. 38]</w:t>
      </w:r>
      <w:r>
        <w:t xml:space="preserve">.</w:t>
      </w:r>
    </w:p>
  </w:footnote>
  <w:footnote w:id="141">
    <w:p>
      <w:pPr>
        <w:pStyle w:val="FootnoteText"/>
      </w:pPr>
      <w:r>
        <w:rPr>
          <w:rStyle w:val="FootnoteReference"/>
        </w:rPr>
        <w:footnoteRef/>
      </w:r>
      <w:r>
        <w:t xml:space="preserve"> </w:t>
      </w:r>
      <w:r>
        <w:t xml:space="preserve">Robinson pobieżnie przygląda się temu, jak „Słowianie stali się naturalnymi niewolnikami”, nie prowadzi jednak tych badań dalej. W istocie mimo jego tezy, że naród nie jest jednostką analizy historii społecznej Europy, praktycznie wszystkie mniejszości, którym przygląda się, rozwijając swoją tezę o rasowym obsadzaniu grup klasowych w feudalnej Europie, są definiowane przez logikę narodu, co bardzo utrudnia Robinsonowi myślenie o mniejszości transnarodowej, takiej jak Romowie.</w:t>
      </w:r>
      <w:r>
        <w:t xml:space="preserve"> </w:t>
      </w:r>
      <w:r>
        <w:t xml:space="preserve">[@robinson1983, s. 26]</w:t>
      </w:r>
      <w:r>
        <w:t xml:space="preserve">.</w:t>
      </w:r>
    </w:p>
  </w:footnote>
  <w:footnote w:id="142">
    <w:p>
      <w:pPr>
        <w:pStyle w:val="FootnoteText"/>
      </w:pPr>
      <w:r>
        <w:rPr>
          <w:rStyle w:val="FootnoteReference"/>
        </w:rPr>
        <w:footnoteRef/>
      </w:r>
      <w:r>
        <w:t xml:space="preserve"> </w:t>
      </w:r>
      <w:r>
        <w:t xml:space="preserve">[@king2019, s. 4]</w:t>
      </w:r>
      <w:r>
        <w:t xml:space="preserve">.</w:t>
      </w:r>
    </w:p>
  </w:footnote>
  <w:footnote w:id="143">
    <w:p>
      <w:pPr>
        <w:pStyle w:val="FootnoteText"/>
      </w:pPr>
      <w:r>
        <w:rPr>
          <w:rStyle w:val="FootnoteReference"/>
        </w:rPr>
        <w:footnoteRef/>
      </w:r>
      <w:r>
        <w:t xml:space="preserve"> </w:t>
      </w:r>
      <w:r>
        <w:t xml:space="preserve">[@king2019, s. 3]</w:t>
      </w:r>
      <w:r>
        <w:t xml:space="preserve">.</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ROMpodpis">
    <w:name w:val="SROM podpis"/>
    <w:basedOn w:val="BodyText"/>
    <w:qFormat/>
  </w:style>
  <w:style w:type="paragraph" w:customStyle="1" w:styleId="SROMprzypis-tytulowy">
    <w:name w:val="SROM przypis-tytulow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subject>SROM-robocza</dc:subject>
  <cp:keywords/>
  <dcterms:created xsi:type="dcterms:W3CDTF">2026-09-27T23:03:33Z</dcterms:created>
  <dcterms:modified xsi:type="dcterms:W3CDTF">2026-09-27T23:03:33Z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rom-tlumaczenie">
    <vt:lpwstr>Michał Bartosz</vt:lpwstr>
  </property>
  <property fmtid="{D5CDD505-2E9C-101B-9397-08002B2CF9AE}" pid="3" name="title-meta">
    <vt:lpwstr>ndiaye_pl.md</vt:lpwstr>
  </property>
  <property fmtid="{D5CDD505-2E9C-101B-9397-08002B2CF9AE}" pid="4" name="tlumaczenie">
    <vt:lpwstr>Michał Bartosz</vt:lpwstr>
  </property>
</Properties>
</file>