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ekstBEZWCIĘCIA"/>
      </w:pPr>
      <w:r>
        <w:t xml:space="preserve">Aby to pokazać, rozwijam koncepcję Patricii Galletti, według której „pod imperialnym spojrzeniem</w:t>
      </w:r>
      <w:r>
        <w:t xml:space="preserve"> </w:t>
      </w:r>
      <w:r>
        <w:rPr>
          <w:rStyle w:val="Kursywa"/>
        </w:rPr>
        <w:t xml:space="preserve">indios</w:t>
      </w:r>
      <w:r>
        <w:t xml:space="preserve"> </w:t>
      </w:r>
      <w:r>
        <w:t xml:space="preserve">i</w:t>
      </w:r>
      <w:r>
        <w:t xml:space="preserve"> </w:t>
      </w:r>
      <w:r>
        <w:rPr>
          <w:rStyle w:val="Kursywa"/>
        </w:rPr>
        <w:t xml:space="preserve">Gitanos</w:t>
      </w:r>
      <w:r>
        <w:t xml:space="preserve"> </w:t>
      </w:r>
      <w:r>
        <w:t xml:space="preserve">stanowili część jednego repertuaru inności”, wychodzę jednak poza traktowanie romskich znaczących jako jednostki inności samej w sobie</w:t>
      </w:r>
      <w:r>
        <w:footnoteReference w:id="9"/>
      </w:r>
      <w:r>
        <w:t xml:space="preserve">. Wychodzę też poza zestawienie przez Tamar Herzog wykluczeń z pełnego członkostwa we wspólnocie, z jakimi mierzyli się afrykańscy, romscy i rdzenni aktorzy jako miejscowi, a zarazem obcy w obrębie europejskich organizmów politycznych. Gdy powiąże się te idee, kategorie, polityki i doświadczenia w ramie transatlantyckiej, na powierzchnię wychodzą związki między potężnymi nowymi formami przynależności i wyobcowania</w:t>
      </w:r>
      <w:r>
        <w:footnoteReference w:id="10"/>
      </w:r>
      <w:r>
        <w:t xml:space="preserve">. Niniejszy rozdział różni się także od wcześniejszych badań nad wyobrażeniami o Romach</w:t>
      </w:r>
      <w:r>
        <w:footnoteReference w:id="11"/>
      </w:r>
      <w:r>
        <w:t xml:space="preserve">, rdzennych Amerykanach</w:t>
      </w:r>
      <w:r>
        <w:footnoteReference w:id="12"/>
      </w:r>
      <w:r>
        <w:t xml:space="preserve"> </w:t>
      </w:r>
      <w:r>
        <w:t xml:space="preserve">czy Afrykanach i ludziach pochodzenia afrykańskiego</w:t>
      </w:r>
      <w:r>
        <w:footnoteReference w:id="13"/>
      </w:r>
      <w:r>
        <w:t xml:space="preserve"> </w:t>
      </w:r>
      <w:r>
        <w:t xml:space="preserve">w umysłach nieromskich, imperialistycznie nastawionych białych, którzy myśleli o sobie, myśląc o kimś innym. Badania takie zazwyczaj rozpatrują w izolacji jeden lud, pozbawiany władzy przez opisowe i często poniżające słowa tych, którzy mieli cele imperialne lub narodowe, i przesłaniają bardziej złożoną sytuację. Sięgając natomiast po pojęcie relacyjnego urasowienia (</w:t>
      </w:r>
      <w:r>
        <w:rPr>
          <w:rStyle w:val="Kursywa"/>
        </w:rPr>
        <w:t xml:space="preserve">relational racialization</w:t>
      </w:r>
      <w:r>
        <w:t xml:space="preserve">), wyrażanego i konstruowanego za pomocą skryptów rasowych, odsłaniam i śledzę warstwę ideologiczną, która lekko, lecz szczelnie spowijała wszystkie podmioty świata atlantyckiego.</w:t>
      </w:r>
    </w:p>
    <w:p>
      <w:pPr>
        <w:pStyle w:val="Tekst"/>
      </w:pPr>
      <w:r>
        <w:t xml:space="preserve">Rasa nie wyłoniła się po prostu z nowych spotkań transatlantyckich ani nie była logiczną konsekwencją jeszcze wcześniejszych doświadczeń Europejczyków z ludźmi spoza Europy. To raczej przybycie Romów do Europy Zachodniej w XV wieku</w:t>
      </w:r>
      <w:r>
        <w:footnoteReference w:id="14"/>
      </w:r>
      <w:r>
        <w:t xml:space="preserve"> </w:t>
      </w:r>
      <w:r>
        <w:t xml:space="preserve">zabarwiło sposób, w jaki nieromscy Europejczycy nadawali sens innym nowym ludziom, których spotykali i którzy również wyglądali i zachowywali się w nieoczekiwany sposób. To, że Romowie dotarli do wielu miejsc w Europie akurat wtedy, gdy zaczynały się podróże transatlantyckie, sprawiło, że praktyki ontologiczne wypracowane w reakcji na Romów dopiero utrwalały się w umysłach Europejczyków, gdy rozpoczynały się europejskie wyprawy na zachód. W rezultacie europejskie wyobrażenia o Romach, rdzennych Amerykanach, Afrykanach i o sobie samych jako Europejczykach (a z czasem jako białych) rozwijały się wspólnie; właśnie dzięki niemal równoczesnemu zetknięciu skrypty przypisane każdej kategorii ludzi pozostawały dynamiczne i raz po raz nakładały się na skrypty dotyczące pozostałych. Nie dziwi zatem, że rozgraniczenia najczęściej stosowane wobec Romów świeżo przybyłych do Europy – dotyczące fizjonomii, mobilności, hermetyczności i szacowności – pozostawały pojęciowo dominujące, gdy Europejczycy w kontekście transatlantyckim rozważali innych i samych siebie. Były to symboliczne elementy, które ostatecznie zaprzęgnięto do pracy urasawiania.</w:t>
      </w:r>
    </w:p>
    <w:p>
      <w:pPr>
        <w:pStyle w:val="Tekst"/>
      </w:pPr>
      <w:r>
        <w:t xml:space="preserve">Choć transatlantyckie relacyjne urasowienie Romów i innych ludzi zawsze pozostawało osadzone w historii, treść skryptu wchłonęła ponadczasowość</w:t>
      </w:r>
      <w:r>
        <w:footnoteReference w:id="15"/>
      </w:r>
      <w:r>
        <w:t xml:space="preserve">, która wzmacniała trwałość rasy. Dzięki temu urasowione treści mogły przekraczać granice pokoleń. Romskie tropy reifikowały się w miarę wzrostu ich użyteczności, a ta rosła, gdy Europejczycy dostrzegali znaczenie i skalę nowych możliwości transatlantyckich. Oświeceniowe idee postępu podsycały niepokój kolonizatorów poszukujących dowodów własnej wyższości nad rzekomym prymitywizmem innych, których czuli się zobowiązani kontrolować i podporządkować. Tak oto sam historyczny proces wczesnonowożytnego transatlantyckiego relacyjnego urasowienia stworzył ponadczasowego „Cygana”, który do dziś ma się doskonale. Trop ten ustabilizował się dzięki nieustannemu kontrastowi z innymi urasowionymi postaciami stereotypowymi, w tym z cywilizowanym Europejczykiem. Niniejszy rozdział pokrótce opisuje i analizuje zaledwie kilka z tych historycznych momentów.</w:t>
      </w:r>
    </w:p>
    <w:p>
      <w:pPr>
        <w:pStyle w:val="Śródtytuł"/>
      </w:pPr>
      <w:r>
        <w:t xml:space="preserve">Bibliografia</w:t>
      </w:r>
    </w:p>
    <w:p>
      <w:pPr>
        <w:pStyle w:val="Bibliografia"/>
      </w:pPr>
      <w:r>
        <w:rPr>
          <w:rStyle w:val="Kapitaliki"/>
        </w:rPr>
        <w:t xml:space="preserve">Charnon-Deutsch</w:t>
      </w:r>
      <w:r>
        <w:t xml:space="preserve"> </w:t>
      </w:r>
      <w:r>
        <w:t xml:space="preserve">Lou,</w:t>
      </w:r>
      <w:r>
        <w:t xml:space="preserve"> </w:t>
      </w:r>
      <w:r>
        <w:rPr>
          <w:rStyle w:val="Kursywa"/>
        </w:rPr>
        <w:t xml:space="preserve">The Spanish Gypsy: The History of a European Obsession</w:t>
      </w:r>
      <w:r>
        <w:t xml:space="preserve">, Pennsylvania State University Press, University Park 2004.</w:t>
      </w:r>
    </w:p>
    <w:p>
      <w:pPr>
        <w:pStyle w:val="Bibliografia"/>
      </w:pPr>
      <w:r>
        <w:rPr>
          <w:rStyle w:val="Kapitaliki"/>
        </w:rPr>
        <w:t xml:space="preserve">Cressy</w:t>
      </w:r>
      <w:r>
        <w:t xml:space="preserve"> </w:t>
      </w:r>
      <w:r>
        <w:t xml:space="preserve">David,</w:t>
      </w:r>
      <w:r>
        <w:t xml:space="preserve"> </w:t>
      </w:r>
      <w:r>
        <w:rPr>
          <w:rStyle w:val="Kursywa"/>
        </w:rPr>
        <w:t xml:space="preserve">Gypsies: An English History</w:t>
      </w:r>
      <w:r>
        <w:t xml:space="preserve">, Oxford University Press, Oxford 2018.</w:t>
      </w:r>
    </w:p>
    <w:p>
      <w:pPr>
        <w:pStyle w:val="Bibliografia"/>
      </w:pPr>
      <w:r>
        <w:rPr>
          <w:rStyle w:val="Kapitaliki"/>
        </w:rPr>
        <w:t xml:space="preserve">Deloria</w:t>
      </w:r>
      <w:r>
        <w:t xml:space="preserve"> </w:t>
      </w:r>
      <w:r>
        <w:t xml:space="preserve">Philip J.,</w:t>
      </w:r>
      <w:r>
        <w:t xml:space="preserve"> </w:t>
      </w:r>
      <w:r>
        <w:rPr>
          <w:rStyle w:val="Kursywa"/>
        </w:rPr>
        <w:t xml:space="preserve">Playing Indian</w:t>
      </w:r>
      <w:r>
        <w:t xml:space="preserve">, Yale University Press, New Haven 1998.</w:t>
      </w:r>
    </w:p>
    <w:p>
      <w:pPr>
        <w:pStyle w:val="Bibliografia"/>
      </w:pPr>
      <w:r>
        <w:rPr>
          <w:rStyle w:val="Kapitaliki"/>
        </w:rPr>
        <w:t xml:space="preserve">Flint</w:t>
      </w:r>
      <w:r>
        <w:t xml:space="preserve"> </w:t>
      </w:r>
      <w:r>
        <w:t xml:space="preserve">Kate,</w:t>
      </w:r>
      <w:r>
        <w:t xml:space="preserve"> </w:t>
      </w:r>
      <w:r>
        <w:rPr>
          <w:rStyle w:val="Kursywa"/>
        </w:rPr>
        <w:t xml:space="preserve">The Transatlantic Indian: 1776–1930</w:t>
      </w:r>
      <w:r>
        <w:t xml:space="preserve">, Princeton University Press, Princeton 2009.</w:t>
      </w:r>
    </w:p>
    <w:p>
      <w:pPr>
        <w:pStyle w:val="Bibliografia"/>
      </w:pPr>
      <w:r>
        <w:rPr>
          <w:rStyle w:val="Kapitaliki"/>
        </w:rPr>
        <w:t xml:space="preserve">Fuente</w:t>
      </w:r>
      <w:r>
        <w:t xml:space="preserve"> </w:t>
      </w:r>
      <w:r>
        <w:t xml:space="preserve">Alejandro de la,</w:t>
      </w:r>
      <w:r>
        <w:t xml:space="preserve"> </w:t>
      </w:r>
      <w:r>
        <w:rPr>
          <w:rStyle w:val="Kapitaliki"/>
        </w:rPr>
        <w:t xml:space="preserve">Gross</w:t>
      </w:r>
      <w:r>
        <w:t xml:space="preserve"> </w:t>
      </w:r>
      <w:r>
        <w:t xml:space="preserve">Ariela J.,</w:t>
      </w:r>
      <w:r>
        <w:t xml:space="preserve"> </w:t>
      </w:r>
      <w:r>
        <w:rPr>
          <w:rStyle w:val="Kursywa"/>
        </w:rPr>
        <w:t xml:space="preserve">Becoming Free, Becoming Black: Race, Freedom, and Law in Cuba, Virginia, and Louisiana</w:t>
      </w:r>
      <w:r>
        <w:t xml:space="preserve">, Cambridge University Press, Cambridge 2020.</w:t>
      </w:r>
    </w:p>
    <w:p>
      <w:pPr>
        <w:pStyle w:val="Bibliografia"/>
      </w:pPr>
      <w:r>
        <w:rPr>
          <w:rStyle w:val="Kapitaliki"/>
        </w:rPr>
        <w:t xml:space="preserve">Galletti</w:t>
      </w:r>
      <w:r>
        <w:t xml:space="preserve"> </w:t>
      </w:r>
      <w:r>
        <w:t xml:space="preserve">Patricia,</w:t>
      </w:r>
      <w:r>
        <w:t xml:space="preserve"> </w:t>
      </w:r>
      <w:r>
        <w:rPr>
          <w:rStyle w:val="Kursywa"/>
        </w:rPr>
        <w:t xml:space="preserve">Los Gitanos como Otro y como Horizonte de Otredad en la Hispanoaméria Colonial (S. XV a XIX)</w:t>
      </w:r>
      <w:r>
        <w:t xml:space="preserve">, „International Journal of Roma Studies”, 2021, t. 3, nr 2.</w:t>
      </w:r>
    </w:p>
    <w:p>
      <w:pPr>
        <w:pStyle w:val="Bibliografia"/>
      </w:pPr>
      <w:r>
        <w:rPr>
          <w:rStyle w:val="Kapitaliki"/>
        </w:rPr>
        <w:t xml:space="preserve">Herzog</w:t>
      </w:r>
      <w:r>
        <w:t xml:space="preserve"> </w:t>
      </w:r>
      <w:r>
        <w:t xml:space="preserve">Tamar,</w:t>
      </w:r>
      <w:r>
        <w:t xml:space="preserve"> </w:t>
      </w:r>
      <w:r>
        <w:rPr>
          <w:rStyle w:val="Kursywa"/>
        </w:rPr>
        <w:t xml:space="preserve">Beyond Race: Exclusion in Early Modern Spain and Spanish America</w:t>
      </w:r>
      <w:r>
        <w:t xml:space="preserve">, w:</w:t>
      </w:r>
      <w:r>
        <w:t xml:space="preserve"> </w:t>
      </w:r>
      <w:r>
        <w:rPr>
          <w:rStyle w:val="Kursywa"/>
        </w:rPr>
        <w:t xml:space="preserve">Race and Blood in the Iberian World</w:t>
      </w:r>
      <w:r>
        <w:t xml:space="preserve">, red. Max S. Hering Torres, María Elena Martínez, David Nirenberg, LIT Verlag, Zürich 2012, s. 151–167.</w:t>
      </w:r>
    </w:p>
    <w:p>
      <w:pPr>
        <w:pStyle w:val="Bibliografia"/>
      </w:pPr>
      <w:r>
        <w:rPr>
          <w:rStyle w:val="Kapitaliki"/>
        </w:rPr>
        <w:t xml:space="preserve">Herzog</w:t>
      </w:r>
      <w:r>
        <w:t xml:space="preserve"> </w:t>
      </w:r>
      <w:r>
        <w:t xml:space="preserve">Tamar,</w:t>
      </w:r>
      <w:r>
        <w:t xml:space="preserve"> </w:t>
      </w:r>
      <w:r>
        <w:rPr>
          <w:rStyle w:val="Kursywa"/>
        </w:rPr>
        <w:t xml:space="preserve">Indigenous Reducciones and Spanish Resettlement: Placing Colonial and European History in Dialogue</w:t>
      </w:r>
      <w:r>
        <w:t xml:space="preserve">, „Ler História”, 2018, t. 72, s. 9–30.</w:t>
      </w:r>
    </w:p>
    <w:p>
      <w:pPr>
        <w:pStyle w:val="Bibliografia"/>
      </w:pPr>
      <w:r>
        <w:rPr>
          <w:rStyle w:val="Kapitaliki"/>
        </w:rPr>
        <w:t xml:space="preserve">Hogarth</w:t>
      </w:r>
      <w:r>
        <w:t xml:space="preserve"> </w:t>
      </w:r>
      <w:r>
        <w:t xml:space="preserve">Rana A.,</w:t>
      </w:r>
      <w:r>
        <w:t xml:space="preserve"> </w:t>
      </w:r>
      <w:r>
        <w:rPr>
          <w:rStyle w:val="Kursywa"/>
        </w:rPr>
        <w:t xml:space="preserve">Medicalizing Blackness: Making Racial Difference in the Atlantic World, 1780–1840</w:t>
      </w:r>
      <w:r>
        <w:t xml:space="preserve">, University of North Carolina Press, Chapel Hill 2017.</w:t>
      </w:r>
    </w:p>
    <w:p>
      <w:pPr>
        <w:pStyle w:val="Bibliografia"/>
      </w:pPr>
      <w:r>
        <w:rPr>
          <w:rStyle w:val="Kapitaliki"/>
        </w:rPr>
        <w:t xml:space="preserve">Houghton-Walker</w:t>
      </w:r>
      <w:r>
        <w:t xml:space="preserve"> </w:t>
      </w:r>
      <w:r>
        <w:t xml:space="preserve">Sarah,</w:t>
      </w:r>
      <w:r>
        <w:t xml:space="preserve"> </w:t>
      </w:r>
      <w:r>
        <w:rPr>
          <w:rStyle w:val="Kursywa"/>
        </w:rPr>
        <w:t xml:space="preserve">Representations of the Gypsy in the Romantic Period</w:t>
      </w:r>
      <w:r>
        <w:t xml:space="preserve">, Oxford University Press, Oxford 2014.</w:t>
      </w:r>
    </w:p>
    <w:p>
      <w:pPr>
        <w:pStyle w:val="Bibliografia"/>
      </w:pPr>
      <w:r>
        <w:rPr>
          <w:rStyle w:val="Kapitaliki"/>
        </w:rPr>
        <w:t xml:space="preserve">Kendi</w:t>
      </w:r>
      <w:r>
        <w:t xml:space="preserve"> </w:t>
      </w:r>
      <w:r>
        <w:t xml:space="preserve">Ibram X.,</w:t>
      </w:r>
      <w:r>
        <w:t xml:space="preserve"> </w:t>
      </w:r>
      <w:r>
        <w:rPr>
          <w:rStyle w:val="Kursywa"/>
        </w:rPr>
        <w:t xml:space="preserve">Stamped from the Beginning: The Definitive History of Racist Ideas in America</w:t>
      </w:r>
      <w:r>
        <w:t xml:space="preserve">, Nation, New York 2016.</w:t>
      </w:r>
    </w:p>
    <w:p>
      <w:pPr>
        <w:pStyle w:val="Bibliografia"/>
      </w:pPr>
      <w:r>
        <w:rPr>
          <w:rStyle w:val="Kapitaliki"/>
        </w:rPr>
        <w:t xml:space="preserve">Matthews</w:t>
      </w:r>
      <w:r>
        <w:t xml:space="preserve"> </w:t>
      </w:r>
      <w:r>
        <w:t xml:space="preserve">Jodie,</w:t>
      </w:r>
      <w:r>
        <w:t xml:space="preserve"> </w:t>
      </w:r>
      <w:r>
        <w:rPr>
          <w:rStyle w:val="Kursywa"/>
        </w:rPr>
        <w:t xml:space="preserve">The Gypsy Woman: Representations in Literature and Visual Culture</w:t>
      </w:r>
      <w:r>
        <w:t xml:space="preserve">, Bloomsbury, London 2018.</w:t>
      </w:r>
    </w:p>
    <w:p>
      <w:pPr>
        <w:pStyle w:val="Bibliografia"/>
      </w:pPr>
      <w:r>
        <w:rPr>
          <w:rStyle w:val="Kapitaliki"/>
        </w:rPr>
        <w:t xml:space="preserve">Nord</w:t>
      </w:r>
      <w:r>
        <w:t xml:space="preserve"> </w:t>
      </w:r>
      <w:r>
        <w:t xml:space="preserve">Deborah Epstein,</w:t>
      </w:r>
      <w:r>
        <w:t xml:space="preserve"> </w:t>
      </w:r>
      <w:r>
        <w:rPr>
          <w:rStyle w:val="Kursywa"/>
        </w:rPr>
        <w:t xml:space="preserve">Gypsies and the British Imagination, 1807–1930</w:t>
      </w:r>
      <w:r>
        <w:t xml:space="preserve">, Columbia University Press, New York 2006.</w:t>
      </w:r>
    </w:p>
    <w:p>
      <w:pPr>
        <w:pStyle w:val="Bibliografia"/>
      </w:pPr>
      <w:r>
        <w:rPr>
          <w:rStyle w:val="Kapitaliki"/>
        </w:rPr>
        <w:t xml:space="preserve">Smith</w:t>
      </w:r>
      <w:r>
        <w:t xml:space="preserve"> </w:t>
      </w:r>
      <w:r>
        <w:t xml:space="preserve">Sherry L.,</w:t>
      </w:r>
      <w:r>
        <w:t xml:space="preserve"> </w:t>
      </w:r>
      <w:r>
        <w:rPr>
          <w:rStyle w:val="Kursywa"/>
        </w:rPr>
        <w:t xml:space="preserve">Reimagining Indians: Native Americans through Anglo Eyes, 1880–1940</w:t>
      </w:r>
      <w:r>
        <w:t xml:space="preserve">, Oxford University Press, Oxford 2000.</w:t>
      </w:r>
    </w:p>
    <w:p>
      <w:pPr>
        <w:pStyle w:val="Bibliografia"/>
      </w:pPr>
      <w:r>
        <w:rPr>
          <w:rStyle w:val="Kapitaliki"/>
        </w:rPr>
        <w:t xml:space="preserve">Trumpener</w:t>
      </w:r>
      <w:r>
        <w:t xml:space="preserve"> </w:t>
      </w:r>
      <w:r>
        <w:t xml:space="preserve">Katie,</w:t>
      </w:r>
      <w:r>
        <w:t xml:space="preserve"> </w:t>
      </w:r>
      <w:r>
        <w:rPr>
          <w:rStyle w:val="Kursywa"/>
        </w:rPr>
        <w:t xml:space="preserve">The Time of the Gypsies: A „People without History” in the Narratives of the West</w:t>
      </w:r>
      <w:r>
        <w:t xml:space="preserve">, „Critical Inquiry”, 1992, t. 18, nr 4, s. 843–884.</w:t>
      </w:r>
    </w:p>
    <w:p>
      <w:pPr>
        <w:pStyle w:val="Bibliografia"/>
      </w:pPr>
      <w:r>
        <w:rPr>
          <w:rStyle w:val="Kapitaliki"/>
        </w:rPr>
        <w:t xml:space="preserve">Wakeley-Smith</w:t>
      </w:r>
      <w:r>
        <w:t xml:space="preserve"> </w:t>
      </w:r>
      <w:r>
        <w:t xml:space="preserve">Dalen,</w:t>
      </w:r>
      <w:r>
        <w:t xml:space="preserve"> </w:t>
      </w:r>
      <w:r>
        <w:rPr>
          <w:rStyle w:val="Kursywa"/>
        </w:rPr>
        <w:t xml:space="preserve">„The One Primitive People Who Contact with Civilization has Failed to Exterminate”: New York and „Gypsy” Madness in the 1920s</w:t>
      </w:r>
      <w:r>
        <w:t xml:space="preserve">, „Journal of American Ethnic History”, 2023, t. 43, nr 1, s. 67–87.</w:t>
      </w:r>
    </w:p>
    <w:p>
      <w:pPr>
        <w:pStyle w:val="PrzypisGWIAZDKOWY"/>
      </w:pPr>
      <w:r>
        <w:t xml:space="preserve">* Pierwodruk: A. Ostendorf,</w:t>
      </w:r>
      <w:r>
        <w:t xml:space="preserve"> </w:t>
      </w:r>
      <w:r>
        <w:rPr>
          <w:rStyle w:val="Kursywa"/>
        </w:rPr>
        <w:t xml:space="preserve">Familiar Outsiders Abroad: Relational Racialization in the Romani Atlantic World</w:t>
      </w:r>
      <w:r>
        <w:t xml:space="preserve">, w:</w:t>
      </w:r>
      <w:r>
        <w:t xml:space="preserve"> </w:t>
      </w:r>
      <w:r>
        <w:rPr>
          <w:rStyle w:val="Kursywa"/>
        </w:rPr>
        <w:t xml:space="preserve">The Romani Atlantic</w:t>
      </w:r>
      <w:r>
        <w:t xml:space="preserve">, red. M. Fotta, A. Ostendorf, Cambridge University Press, Cambridge 2026, s. 86–108, DOI: 10.1017/9781009706032.005. © Cambridge University Press &amp; Assessment 2026. Tekst opublikowany w otwartym dostępie na licencji CC BY-NC 4.0 (https://creativecommons.org/licenses/by-nc/4.0/); niniejszy przekład stanowi zmianę utworu w rozumieniu licencji. Tłumaczenie: Michał Bartosz. Cytaty ze źródeł obcojęzycznych, o ile nie wskazano inaczej, w przekładzie tłumacza artykułu; cytaty ze źródeł francuskich, hiszpańskich i niemieckich, których oryginał był dostępny, przełożono z oryginału.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footnoteRef/>
      </w:r>
      <w:r>
        <w:t xml:space="preserve">P. Galletti,</w:t>
      </w:r>
      <w:r>
        <w:t xml:space="preserve"> </w:t>
      </w:r>
      <w:r>
        <w:rPr>
          <w:rStyle w:val="Kursywa"/>
        </w:rPr>
        <w:t xml:space="preserve">Los Gitanos como Otro y como Horizonte de Otredad en la Hispanoaméria Colonial (S. XV a XIX)</w:t>
      </w:r>
      <w:r>
        <w:t xml:space="preserve">,</w:t>
      </w:r>
      <w:r>
        <w:t xml:space="preserve"> </w:t>
      </w:r>
      <w:r>
        <w:t xml:space="preserve">„International Journal of Roma Studies”</w:t>
      </w:r>
      <w:r>
        <w:t xml:space="preserve">, 2021, t. 3, nr 2, s. 119.</w:t>
      </w:r>
    </w:p>
  </w:footnote>
  <w:footnote w:id="10">
    <w:p>
      <w:pPr>
        <w:pStyle w:val="FootnoteText"/>
      </w:pPr>
      <w:r>
        <w:footnoteRef/>
      </w:r>
      <w:r>
        <w:t xml:space="preserve">T. Herzog,</w:t>
      </w:r>
      <w:r>
        <w:t xml:space="preserve"> </w:t>
      </w:r>
      <w:r>
        <w:rPr>
          <w:rStyle w:val="Kursywa"/>
        </w:rPr>
        <w:t xml:space="preserve">Indigenous Reducciones and Spanish Resettlement: Placing Colonial and European History in Dialogue</w:t>
      </w:r>
      <w:r>
        <w:t xml:space="preserve">,</w:t>
      </w:r>
      <w:r>
        <w:t xml:space="preserve"> </w:t>
      </w:r>
      <w:r>
        <w:t xml:space="preserve">„Ler História”</w:t>
      </w:r>
      <w:r>
        <w:t xml:space="preserve">, 2018, t. 72; T. Herzog,</w:t>
      </w:r>
      <w:r>
        <w:t xml:space="preserve"> </w:t>
      </w:r>
      <w:r>
        <w:rPr>
          <w:rStyle w:val="Kursywa"/>
        </w:rPr>
        <w:t xml:space="preserve">Beyond Race: Exclusion in Early Modern Spain and Spanish America</w:t>
      </w:r>
      <w:r>
        <w:t xml:space="preserve">, w:</w:t>
      </w:r>
      <w:r>
        <w:t xml:space="preserve"> </w:t>
      </w:r>
      <w:r>
        <w:rPr>
          <w:rStyle w:val="Kursywa"/>
        </w:rPr>
        <w:t xml:space="preserve">Race and Blood in the Iberian World</w:t>
      </w:r>
      <w:r>
        <w:t xml:space="preserve">, red. M.S. Hering Torres, M.E. Martínez, D. Nirenberg, LIT Verlag, Zürich 2012.</w:t>
      </w:r>
      <w:r>
        <w:t xml:space="preserve"> </w:t>
      </w:r>
      <w:r>
        <w:t xml:space="preserve">Odpowiednik angielski zob.</w:t>
      </w:r>
      <w:r>
        <w:t xml:space="preserve"> </w:t>
      </w:r>
      <w:r>
        <w:t xml:space="preserve">D. Cressy,</w:t>
      </w:r>
      <w:r>
        <w:t xml:space="preserve"> </w:t>
      </w:r>
      <w:r>
        <w:rPr>
          <w:rStyle w:val="Kursywa"/>
        </w:rPr>
        <w:t xml:space="preserve">Gypsies: An English History</w:t>
      </w:r>
      <w:r>
        <w:t xml:space="preserve">, Oxford University Press, Oxford 2018, s. 89</w:t>
      </w:r>
      <w:r>
        <w:t xml:space="preserve">.</w:t>
      </w:r>
    </w:p>
  </w:footnote>
  <w:footnote w:id="11">
    <w:p>
      <w:pPr>
        <w:pStyle w:val="FootnoteText"/>
      </w:pPr>
      <w:r>
        <w:footnoteRef/>
      </w:r>
      <w:r>
        <w:t xml:space="preserve">D. Wakeley-Smith,</w:t>
      </w:r>
      <w:r>
        <w:t xml:space="preserve"> </w:t>
      </w:r>
      <w:r>
        <w:rPr>
          <w:rStyle w:val="Kursywa"/>
        </w:rPr>
        <w:t xml:space="preserve">„The One Primitive People Who Contact with Civilization has Failed to Exterminate”</w:t>
      </w:r>
      <w:r>
        <w:rPr>
          <w:rStyle w:val="Kursywa"/>
        </w:rPr>
        <w:t xml:space="preserve">: New York and</w:t>
      </w:r>
      <w:r>
        <w:rPr>
          <w:rStyle w:val="Kursywa"/>
        </w:rPr>
        <w:t xml:space="preserve"> </w:t>
      </w:r>
      <w:r>
        <w:rPr>
          <w:rStyle w:val="Kursywa"/>
        </w:rPr>
        <w:t xml:space="preserve">„Gypsy”</w:t>
      </w:r>
      <w:r>
        <w:rPr>
          <w:rStyle w:val="Kursywa"/>
        </w:rPr>
        <w:t xml:space="preserve"> </w:t>
      </w:r>
      <w:r>
        <w:rPr>
          <w:rStyle w:val="Kursywa"/>
        </w:rPr>
        <w:t xml:space="preserve">Madness in the 1920s</w:t>
      </w:r>
      <w:r>
        <w:t xml:space="preserve">,</w:t>
      </w:r>
      <w:r>
        <w:t xml:space="preserve"> </w:t>
      </w:r>
      <w:r>
        <w:t xml:space="preserve">„Journal of American Ethnic History”</w:t>
      </w:r>
      <w:r>
        <w:t xml:space="preserve">, 2023, t. 43, nr 1; J. Matthews,</w:t>
      </w:r>
      <w:r>
        <w:t xml:space="preserve"> </w:t>
      </w:r>
      <w:r>
        <w:rPr>
          <w:rStyle w:val="Kursywa"/>
        </w:rPr>
        <w:t xml:space="preserve">The Gypsy Woman: Representations in Literature and Visual Culture</w:t>
      </w:r>
      <w:r>
        <w:t xml:space="preserve">, Bloomsbury, London 2018; S. Houghton-Walker,</w:t>
      </w:r>
      <w:r>
        <w:t xml:space="preserve"> </w:t>
      </w:r>
      <w:r>
        <w:rPr>
          <w:rStyle w:val="Kursywa"/>
        </w:rPr>
        <w:t xml:space="preserve">Representations of the Gypsy in the Romantic Period</w:t>
      </w:r>
      <w:r>
        <w:t xml:space="preserve">, Oxford University Press, Oxford 2014; D.E. Nord,</w:t>
      </w:r>
      <w:r>
        <w:t xml:space="preserve"> </w:t>
      </w:r>
      <w:r>
        <w:rPr>
          <w:rStyle w:val="Kursywa"/>
        </w:rPr>
        <w:t xml:space="preserve">Gypsies and the British Imagination, 1807–1930</w:t>
      </w:r>
      <w:r>
        <w:t xml:space="preserve">, Columbia University Press, New York 2006; L. Charnon-Deutsch,</w:t>
      </w:r>
      <w:r>
        <w:t xml:space="preserve"> </w:t>
      </w:r>
      <w:r>
        <w:rPr>
          <w:rStyle w:val="Kursywa"/>
        </w:rPr>
        <w:t xml:space="preserve">The Spanish Gypsy: The History of a European Obsession</w:t>
      </w:r>
      <w:r>
        <w:t xml:space="preserve">, Pennsylvania State University Press, University Park 2004.</w:t>
      </w:r>
    </w:p>
  </w:footnote>
  <w:footnote w:id="12">
    <w:p>
      <w:pPr>
        <w:pStyle w:val="FootnoteText"/>
      </w:pPr>
      <w:r>
        <w:footnoteRef/>
      </w:r>
      <w:r>
        <w:t xml:space="preserve">K. Flint,</w:t>
      </w:r>
      <w:r>
        <w:t xml:space="preserve"> </w:t>
      </w:r>
      <w:r>
        <w:rPr>
          <w:rStyle w:val="Kursywa"/>
        </w:rPr>
        <w:t xml:space="preserve">The Transatlantic Indian: 1776–1930</w:t>
      </w:r>
      <w:r>
        <w:t xml:space="preserve">, Princeton University Press, Princeton 2009; S.L. Smith,</w:t>
      </w:r>
      <w:r>
        <w:t xml:space="preserve"> </w:t>
      </w:r>
      <w:r>
        <w:rPr>
          <w:rStyle w:val="Kursywa"/>
        </w:rPr>
        <w:t xml:space="preserve">Reimagining Indians: Native Americans through Anglo Eyes, 1880–1940</w:t>
      </w:r>
      <w:r>
        <w:t xml:space="preserve">, Oxford University Press, Oxford 2000; P.J. Deloria,</w:t>
      </w:r>
      <w:r>
        <w:t xml:space="preserve"> </w:t>
      </w:r>
      <w:r>
        <w:rPr>
          <w:rStyle w:val="Kursywa"/>
        </w:rPr>
        <w:t xml:space="preserve">Playing Indian</w:t>
      </w:r>
      <w:r>
        <w:t xml:space="preserve">, Yale University Press, New Haven 1998.</w:t>
      </w:r>
    </w:p>
  </w:footnote>
  <w:footnote w:id="13">
    <w:p>
      <w:pPr>
        <w:pStyle w:val="FootnoteText"/>
      </w:pPr>
      <w:r>
        <w:footnoteRef/>
      </w:r>
      <w:r>
        <w:t xml:space="preserve">A. de la Fuente, A.J. Gross,</w:t>
      </w:r>
      <w:r>
        <w:t xml:space="preserve"> </w:t>
      </w:r>
      <w:r>
        <w:rPr>
          <w:rStyle w:val="Kursywa"/>
        </w:rPr>
        <w:t xml:space="preserve">Becoming Free, Becoming Black: Race, Freedom, and Law in Cuba, Virginia, and Louisiana</w:t>
      </w:r>
      <w:r>
        <w:t xml:space="preserve">, Cambridge University Press, Cambridge 2020; R.A. Hogarth,</w:t>
      </w:r>
      <w:r>
        <w:t xml:space="preserve"> </w:t>
      </w:r>
      <w:r>
        <w:rPr>
          <w:rStyle w:val="Kursywa"/>
        </w:rPr>
        <w:t xml:space="preserve">Medicalizing Blackness: Making Racial Difference in the Atlantic World, 1780–1840</w:t>
      </w:r>
      <w:r>
        <w:t xml:space="preserve">, University of North Carolina Press, Chapel Hill 2017; I.X. Kendi,</w:t>
      </w:r>
      <w:r>
        <w:t xml:space="preserve"> </w:t>
      </w:r>
      <w:r>
        <w:rPr>
          <w:rStyle w:val="Kursywa"/>
        </w:rPr>
        <w:t xml:space="preserve">Stamped from the Beginning: The Definitive History of Racist Ideas in America</w:t>
      </w:r>
      <w:r>
        <w:t xml:space="preserve">, Nation, New York 2016.</w:t>
      </w:r>
    </w:p>
  </w:footnote>
  <w:footnote w:id="14">
    <w:p>
      <w:pPr>
        <w:pStyle w:val="FootnoteText"/>
      </w:pPr>
      <w:r>
        <w:footnoteRef/>
      </w:r>
      <w:r>
        <w:t xml:space="preserve">Cressy,</w:t>
      </w:r>
      <w:r>
        <w:t xml:space="preserve"> </w:t>
      </w:r>
      <w:r>
        <w:rPr>
          <w:rStyle w:val="Kursywa"/>
        </w:rPr>
        <w:t xml:space="preserve">Gypsies…</w:t>
      </w:r>
      <w:r>
        <w:t xml:space="preserve">, s. 5–10.</w:t>
      </w:r>
    </w:p>
  </w:footnote>
  <w:footnote w:id="15">
    <w:p>
      <w:pPr>
        <w:pStyle w:val="FootnoteText"/>
      </w:pPr>
      <w:r>
        <w:footnoteRef/>
      </w:r>
      <w:r>
        <w:t xml:space="preserve">K. Trumpener,</w:t>
      </w:r>
      <w:r>
        <w:t xml:space="preserve"> </w:t>
      </w:r>
      <w:r>
        <w:rPr>
          <w:rStyle w:val="Kursywa"/>
        </w:rPr>
        <w:t xml:space="preserve">The Time of the Gypsies: A</w:t>
      </w:r>
      <w:r>
        <w:rPr>
          <w:rStyle w:val="Kursywa"/>
        </w:rPr>
        <w:t xml:space="preserve"> </w:t>
      </w:r>
      <w:r>
        <w:rPr>
          <w:rStyle w:val="Kursywa"/>
        </w:rPr>
        <w:t xml:space="preserve">„People without History”</w:t>
      </w:r>
      <w:r>
        <w:rPr>
          <w:rStyle w:val="Kursywa"/>
        </w:rPr>
        <w:t xml:space="preserve"> </w:t>
      </w:r>
      <w:r>
        <w:rPr>
          <w:rStyle w:val="Kursywa"/>
        </w:rPr>
        <w:t xml:space="preserve">in the Narratives of the West</w:t>
      </w:r>
      <w:r>
        <w:t xml:space="preserve">,</w:t>
      </w:r>
      <w:r>
        <w:t xml:space="preserve"> </w:t>
      </w:r>
      <w:r>
        <w:t xml:space="preserve">„Critical Inquiry”</w:t>
      </w:r>
      <w:r>
        <w:t xml:space="preserve">, 1992, t. 18, nr 4.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Przypis"/>
    <w:basedOn w:val="Normal"/>
    <w:next w:val="FootnoteText"/>
    <w:uiPriority w:val="9"/>
    <w:unhideWhenUsed/>
    <w:qFormat/>
    <w:pPr>
      <w:jc w:val="both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Śródtytuł" w:type="paragraph">
    <w:name w:val="Śródtytuł"/>
    <w:basedOn w:val="Normal"/>
    <w:pPr>
      <w:jc w:val="left"/>
    </w:pPr>
    <w:rPr>
      <w:b/>
    </w:rPr>
  </w:style>
  <w:style w:customStyle="1" w:styleId="ŚródtytułMAŁE" w:type="paragraph">
    <w:name w:val="Śródtytuł MAŁE"/>
    <w:basedOn w:val="Normal"/>
    <w:pPr>
      <w:jc w:val="left"/>
    </w:pPr>
    <w:rPr>
      <w:b/>
    </w:rPr>
  </w:style>
  <w:style w:customStyle="1" w:styleId="Tekst" w:type="paragraph">
    <w:name w:val="Tekst"/>
    <w:basedOn w:val="Normal"/>
    <w:pPr>
      <w:jc w:val="both"/>
    </w:pPr>
  </w:style>
  <w:style w:customStyle="1" w:styleId="TekstBEZWCIĘCIA" w:type="paragraph">
    <w:name w:val="Tekst BEZ WCIĘCIA"/>
    <w:basedOn w:val="Normal"/>
    <w:pPr>
      <w:jc w:val="both"/>
    </w:pPr>
  </w:style>
  <w:style w:customStyle="1" w:styleId="Cytat" w:type="paragraph">
    <w:name w:val="Cytat"/>
    <w:basedOn w:val="Normal"/>
    <w:pPr>
      <w:ind w:left="567"/>
      <w:jc w:val="both"/>
    </w:pPr>
  </w:style>
  <w:style w:customStyle="1" w:styleId="Wyliczenie" w:type="paragraph">
    <w:name w:val="Wyliczenie"/>
    <w:basedOn w:val="Normal"/>
    <w:pPr>
      <w:jc w:val="both"/>
    </w:pPr>
  </w:style>
  <w:style w:customStyle="1" w:styleId="Bibliografia" w:type="paragraph">
    <w:name w:val="Bibliografia"/>
    <w:basedOn w:val="Normal"/>
    <w:pPr>
      <w:jc w:val="both"/>
    </w:pPr>
  </w:style>
  <w:style w:customStyle="1" w:styleId="Podpis" w:type="paragraph">
    <w:name w:val="Podpis"/>
    <w:basedOn w:val="Normal"/>
    <w:pPr>
      <w:jc w:val="center"/>
    </w:pPr>
  </w:style>
  <w:style w:customStyle="1" w:styleId="TabelaTYTUŁ" w:type="paragraph">
    <w:name w:val="Tabela TYTUŁ"/>
    <w:basedOn w:val="Normal"/>
    <w:pPr>
      <w:jc w:val="center"/>
    </w:pPr>
  </w:style>
  <w:style w:customStyle="1" w:styleId="CytatWIERSZ" w:type="paragraph">
    <w:name w:val="Cytat WIERSZ"/>
    <w:basedOn w:val="Normal"/>
    <w:pPr>
      <w:jc w:val="left"/>
    </w:pPr>
  </w:style>
  <w:style w:customStyle="1" w:styleId="TabelaTREŚĆ" w:type="paragraph">
    <w:name w:val="Tabela TREŚĆ"/>
    <w:basedOn w:val="Normal"/>
    <w:pPr>
      <w:jc w:val="left"/>
    </w:pPr>
  </w:style>
  <w:style w:customStyle="1" w:styleId="PrzykładFORMA" w:type="paragraph">
    <w:name w:val="Przykład FORMA"/>
    <w:basedOn w:val="Normal"/>
    <w:pPr>
      <w:jc w:val="left"/>
    </w:pPr>
  </w:style>
  <w:style w:customStyle="1" w:styleId="PrzykładGLOSA" w:type="paragraph">
    <w:name w:val="Przykład GLOSA"/>
    <w:basedOn w:val="Normal"/>
    <w:pPr>
      <w:jc w:val="left"/>
    </w:pPr>
  </w:style>
  <w:style w:customStyle="1" w:styleId="PrzykładPRZEKŁAD" w:type="paragraph">
    <w:name w:val="Przykład PRZEKŁAD"/>
    <w:basedOn w:val="Normal"/>
    <w:pPr>
      <w:jc w:val="left"/>
    </w:pPr>
  </w:style>
  <w:style w:customStyle="1" w:styleId="PrzypisGWIAZDKOWY" w:type="paragraph">
    <w:name w:val="Przypis GWIAZDKOWY"/>
    <w:basedOn w:val="Normal"/>
    <w:pPr>
      <w:jc w:val="both"/>
    </w:pPr>
  </w:style>
  <w:style w:customStyle="1" w:styleId="Motto" w:type="paragraph">
    <w:name w:val="Motto"/>
    <w:basedOn w:val="Normal"/>
    <w:pPr>
      <w:jc w:val="both"/>
    </w:pPr>
  </w:style>
  <w:style w:customStyle="1" w:styleId="MottoŹRÓDŁO" w:type="paragraph">
    <w:name w:val="Motto ŹRÓDŁO"/>
    <w:basedOn w:val="Normal"/>
    <w:pPr>
      <w:jc w:val="right"/>
    </w:pPr>
  </w:style>
  <w:style w:customStyle="1" w:styleId="Mówca" w:type="paragraph">
    <w:name w:val="Mówca"/>
    <w:basedOn w:val="Normal"/>
    <w:pPr>
      <w:jc w:val="both"/>
    </w:pPr>
  </w:style>
  <w:style w:customStyle="1" w:styleId="Afiliacja" w:type="paragraph">
    <w:name w:val="Afiliacja"/>
    <w:basedOn w:val="Normal"/>
    <w:pPr>
      <w:jc w:val="both"/>
    </w:pPr>
  </w:style>
  <w:style w:customStyle="1" w:styleId="Kursywa" w:type="character">
    <w:name w:val="Kursywa"/>
    <w:rPr>
      <w:i/>
    </w:rPr>
  </w:style>
  <w:style w:customStyle="1" w:styleId="Kapitaliki" w:type="character">
    <w:name w:val="Kapitaliki"/>
    <w:rPr>
      <w:smallCaps/>
    </w:rPr>
  </w:style>
  <w:style w:customStyle="1" w:styleId="Pogrubienie" w:type="character">
    <w:name w:val="Pogrubienie"/>
  </w:style>
  <w:style w:customStyle="1" w:styleId="Proste" w:type="character">
    <w:name w:val="Proste"/>
  </w:style>
  <w:style w:customStyle="1" w:styleId="Gwiazdka" w:type="character">
    <w:name w:val="Gwiazdka"/>
    <w:rPr>
      <w:vertAlign w:val="superscript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pl-PL</dc:language>
  <cp:keywords/>
  <dcterms:created xsi:type="dcterms:W3CDTF">2026-10-03T00:44:54Z</dcterms:created>
  <dcterms:modified xsi:type="dcterms:W3CDTF">2026-10-03T00:44:54Z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/var/folders/dm/f8vcbjtx0f52qknnxljq9__00000gn/T/tmp7_y6v6eb/refs.json</vt:lpwstr>
  </property>
  <property fmtid="{D5CDD505-2E9C-101B-9397-08002B2CF9AE}" pid="3" name="csl">
    <vt:lpwstr>/Users/michalbartosz/ARBEIT/Bima/SROM/CODE/SROM/SROM edit and trans/_migracja/build/srom-cowork/plugin/srom/skills/srom-produkcja/csl/srom.csl</vt:lpwstr>
  </property>
  <property fmtid="{D5CDD505-2E9C-101B-9397-08002B2CF9AE}" pid="4" name="notes-after-punctuation">
    <vt:lpwstr>False</vt:lpwstr>
  </property>
  <property fmtid="{D5CDD505-2E9C-101B-9397-08002B2CF9AE}" pid="5" name="srom-config">
    <vt:lpwstr>/Users/michalbartosz/ARBEIT/Bima/SROM/CODE/SROM/SROM edit and trans/_migracja/build/srom-cowork/plugin/srom/skills/srom-produkcja/config/styles.json</vt:lpwstr>
  </property>
  <property fmtid="{D5CDD505-2E9C-101B-9397-08002B2CF9AE}" pid="6" name="suppress-bibliography">
    <vt:lpwstr>True</vt:lpwstr>
  </property>
  <property fmtid="{D5CDD505-2E9C-101B-9397-08002B2CF9AE}" pid="7" name="tlumaczenie">
    <vt:lpwstr>Michał Bartosz</vt:lpwstr>
  </property>
</Properties>
</file>