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 xml:space="preserve">Information Technology Department Weekly Flash Report</w:t>
      </w:r>
    </w:p>
    <w:p>
      <w:r>
        <w:rPr>
          <w:sz w:val="22"/>
        </w:rPr>
        <w:t xml:space="preserve">14th May, 2026.</w:t>
      </w:r>
    </w:p>
    <w:tbl>
      <w:tblPr>
        <w:tblW w:w="0" w:type="auto"/>
        <w:tblBorders>
          <w:top w:val="single" w:sz="4"/>
          <w:left w:val="single" w:sz="4"/>
          <w:bottom w:val="single" w:sz="4"/>
          <w:right w:val="single" w:sz="4"/>
          <w:insideH w:val="single" w:sz="4"/>
          <w:insideV w:val="single" w:sz="4"/>
        </w:tblBorders>
      </w:tblPr>
      <w:tr>
        <w:tc>
          <w:tcPr>
            <w:tcW w:w="2400" w:type="dxa"/>
          </w:tcPr>
          <w:p>
            <w:r>
              <w:rPr>
                <w:b/>
                <w:sz w:val="20"/>
              </w:rPr>
              <w:t xml:space="preserve">Key Activity</w:t>
            </w:r>
          </w:p>
        </w:tc>
        <w:tc>
          <w:tcPr>
            <w:tcW w:w="2400" w:type="dxa"/>
          </w:tcPr>
          <w:p>
            <w:r>
              <w:rPr>
                <w:b/>
                <w:sz w:val="20"/>
              </w:rPr>
              <w:t xml:space="preserve">Current two Weeks</w:t>
            </w:r>
          </w:p>
        </w:tc>
        <w:tc>
          <w:tcPr>
            <w:tcW w:w="2400" w:type="dxa"/>
          </w:tcPr>
          <w:p>
            <w:r>
              <w:rPr>
                <w:b/>
                <w:sz w:val="20"/>
              </w:rPr>
              <w:t xml:space="preserve">Next two Weeks</w:t>
            </w:r>
          </w:p>
        </w:tc>
        <w:tc>
          <w:tcPr>
            <w:tcW w:w="2400" w:type="dxa"/>
          </w:tcPr>
          <w:p>
            <w:r>
              <w:rPr>
                <w:b/>
                <w:sz w:val="20"/>
              </w:rPr>
              <w:t xml:space="preserve">Challenges (If any)</w:t>
            </w:r>
          </w:p>
        </w:tc>
      </w:tr>
      <w:tr>
        <w:tc>
          <w:tcPr>
            <w:tcW w:w="2400" w:type="dxa"/>
          </w:tcPr>
          <w:p>
            <w:r>
              <w:rPr>
                <w:b/>
                <w:sz w:val="20"/>
              </w:rPr>
              <w:t xml:space="preserve">IT APPLICATIONS UNITY</w:t>
            </w:r>
          </w:p>
        </w:tc>
        <w:tc>
          <w:tcPr>
            <w:tcW w:w="2400" w:type="dxa"/>
          </w:tcPr>
          <w:p>
            <w:r>
              <w:rPr>
                <w:b/>
                <w:sz w:val="20"/>
              </w:rPr>
              <w:t xml:space="preserve"/>
            </w:r>
          </w:p>
        </w:tc>
        <w:tc>
          <w:tcPr>
            <w:tcW w:w="2400" w:type="dxa"/>
          </w:tcPr>
          <w:p>
            <w:r>
              <w:rPr>
                <w:b/>
                <w:sz w:val="20"/>
              </w:rPr>
              <w:t xml:space="preserve"/>
            </w:r>
          </w:p>
        </w:tc>
        <w:tc>
          <w:tcPr>
            <w:tcW w:w="2400" w:type="dxa"/>
          </w:tcPr>
          <w:p>
            <w:r>
              <w:rPr>
                <w:b/>
                <w:sz w:val="20"/>
              </w:rPr>
              <w:t xml:space="preserve"/>
            </w:r>
          </w:p>
        </w:tc>
      </w:tr>
      <w:tr>
        <w:tc>
          <w:tcPr>
            <w:tcW w:w="2400" w:type="dxa"/>
          </w:tcPr>
          <w:p>
            <w:r>
              <w:rPr>
                <w:b/>
                <w:sz w:val="20"/>
              </w:rPr>
              <w:t xml:space="preserve">WAS &amp; Performance tuning</w:t>
            </w:r>
          </w:p>
        </w:tc>
        <w:tc>
          <w:tcPr>
            <w:tcW w:w="2400" w:type="dxa"/>
          </w:tcPr>
          <w:p>
            <w:r>
              <w:rPr>
                <w:b/>
                <w:sz w:val="20"/>
              </w:rPr>
              <w:t xml:space="preserve"/>
            </w:r>
          </w:p>
        </w:tc>
        <w:tc>
          <w:tcPr>
            <w:tcW w:w="2400" w:type="dxa"/>
          </w:tcPr>
          <w:p>
            <w:r>
              <w:rPr>
                <w:b/>
                <w:sz w:val="20"/>
              </w:rPr>
              <w:t xml:space="preserve"/>
            </w:r>
          </w:p>
        </w:tc>
        <w:tc>
          <w:tcPr>
            <w:tcW w:w="2400" w:type="dxa"/>
          </w:tcPr>
          <w:p>
            <w:r>
              <w:rPr>
                <w:b/>
                <w:sz w:val="20"/>
              </w:rPr>
              <w:t xml:space="preserve"/>
            </w:r>
          </w:p>
        </w:tc>
      </w:tr>
      <w:tr>
        <w:tc>
          <w:tcPr>
            <w:tcW w:w="2400" w:type="dxa"/>
          </w:tcPr>
          <w:p>
            <w:r>
              <w:rPr>
                <w:sz w:val="20"/>
              </w:rPr>
              <w:t xml:space="preserve">Tax handbook content development</w:t>
            </w:r>
          </w:p>
        </w:tc>
        <w:tc>
          <w:tcPr>
            <w:tcW w:w="2400" w:type="dxa"/>
          </w:tcPr>
          <w:p>
            <w:r>
              <w:rPr>
                <w:sz w:val="20"/>
              </w:rPr>
              <w:t xml:space="preserve">We continued migration and improvement of RRA Tax Handbook content, especially Domestic Taxes, Central Government Taxes, and Local Government Taxes. This week included updates for Income Tax, PAYE, VAT, Excise Duty, Withholding Taxes, Gaming Tax, Capital Gains Tax, Mining Royalty Tax, Road Maintenance Levy, Tourism Tax, Immovable Property Tax, Tax on Sale of Immovable Property, Trading License, Rental Income Tax, Fees Levied by Decentralized Entities, Domestic Tax Penalties and Fines, and Domestic Tax Centers.</w:t>
            </w:r>
          </w:p>
        </w:tc>
        <w:tc>
          <w:tcPr>
            <w:tcW w:w="2400" w:type="dxa"/>
          </w:tcPr>
          <w:p>
            <w:r>
              <w:rPr>
                <w:sz w:val="20"/>
              </w:rPr>
              <w:t xml:space="preserve">We will continue reviewing handbook content for accuracy, completeness, wording consistency, and alignment with the official RRA Tax Handbook structure before final publishing.</w:t>
            </w:r>
          </w:p>
        </w:tc>
        <w:tc>
          <w:tcPr>
            <w:tcW w:w="2400" w:type="dxa"/>
          </w:tcPr>
          <w:p>
            <w:r>
              <w:rPr>
                <w:sz w:val="20"/>
              </w:rPr>
              <w:t xml:space="preserve">Yes, some tax content still requires final subject matter validation and proofreading before publishing.</w:t>
            </w:r>
          </w:p>
        </w:tc>
      </w:tr>
      <w:tr>
        <w:tc>
          <w:tcPr>
            <w:tcW w:w="2400" w:type="dxa"/>
          </w:tcPr>
          <w:p>
            <w:r>
              <w:rPr>
                <w:sz w:val="20"/>
              </w:rPr>
              <w:t xml:space="preserve">Handbook platform rendering and navigation</w:t>
            </w:r>
          </w:p>
        </w:tc>
        <w:tc>
          <w:tcPr>
            <w:tcW w:w="2400" w:type="dxa"/>
          </w:tcPr>
          <w:p>
            <w:r>
              <w:rPr>
                <w:sz w:val="20"/>
              </w:rPr>
              <w:t xml:space="preserve">We improved handbook content rendering without changing tax wording. Work included updates to the tax detail page, handbook accordion behavior, reusable handbook section rendering, table support, and content styling so long tax guidance can display clearly in the platform.</w:t>
            </w:r>
          </w:p>
        </w:tc>
        <w:tc>
          <w:tcPr>
            <w:tcW w:w="2400" w:type="dxa"/>
          </w:tcPr>
          <w:p>
            <w:r>
              <w:rPr>
                <w:sz w:val="20"/>
              </w:rPr>
              <w:t xml:space="preserve">We will continue testing page navigation, accordion content, table formatting, related content links, and static export readiness across the main language routes.</w:t>
            </w:r>
          </w:p>
        </w:tc>
        <w:tc>
          <w:tcPr>
            <w:tcW w:w="2400" w:type="dxa"/>
          </w:tcPr>
          <w:p>
            <w:r>
              <w:rPr>
                <w:sz w:val="20"/>
              </w:rPr>
              <w:t xml:space="preserve">Yes, some pages still need full lint/build verification and browser review after content updates.</w:t>
            </w:r>
          </w:p>
        </w:tc>
      </w:tr>
      <w:tr>
        <w:tc>
          <w:tcPr>
            <w:tcW w:w="2400" w:type="dxa"/>
          </w:tcPr>
          <w:p>
            <w:r>
              <w:rPr>
                <w:sz w:val="20"/>
              </w:rPr>
              <w:t xml:space="preserve">General information, local government taxes, and taxpayer support content</w:t>
            </w:r>
          </w:p>
        </w:tc>
        <w:tc>
          <w:tcPr>
            <w:tcW w:w="2400" w:type="dxa"/>
          </w:tcPr>
          <w:p>
            <w:r>
              <w:rPr>
                <w:sz w:val="20"/>
              </w:rPr>
              <w:t xml:space="preserve">We updated General Information sections and expanded Local Government Taxes content, including related fees and taxpayer support. Domestic Tax Centers and Domestic Tax Penalties and Fines were separated into their own reusable detail pages to reduce duplicated content and make the handbook easier to maintain.</w:t>
            </w:r>
          </w:p>
        </w:tc>
        <w:tc>
          <w:tcPr>
            <w:tcW w:w="2400" w:type="dxa"/>
          </w:tcPr>
          <w:p>
            <w:r>
              <w:rPr>
                <w:sz w:val="20"/>
              </w:rPr>
              <w:t xml:space="preserve">We will keep cleaning duplicated content, improve formatting consistency in lists/examples/tables, and continue preparing remaining handbook sections for review.</w:t>
            </w:r>
          </w:p>
        </w:tc>
        <w:tc>
          <w:tcPr>
            <w:tcW w:w="2400" w:type="dxa"/>
          </w:tcPr>
          <w:p>
            <w:r>
              <w:rPr>
                <w:sz w:val="20"/>
              </w:rPr>
              <w:t xml:space="preserve">Yes, translated French and Kinyarwanda content may still fall back to English where translations are not yet complete.</w:t>
            </w:r>
          </w:p>
        </w:tc>
      </w:tr>
    </w:tbl>
    <w:p>
      <w:r>
        <w:rPr>
          <w:sz w:val="22"/>
        </w:rPr>
        <w:t xml:space="preserve">This Report is prepared by: NSHUTI Blessing Prince &amp; Abdul Aziz NDAYISHIMIYE</w:t>
      </w:r>
    </w:p>
    <w:sectPr>
      <w:pgSz w:w="12240" w:h="15840"/>
      <w:pgMar w:top="1440" w:right="1440" w:bottom="1440" w:left="1440" w:header="720" w:footer="720" w:gutter="0"/>
    </w:sectPr>
  </w:body>
</w:document>
</file>