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pPr>
    </w:p>
    <w:p>
      <w:pPr>
        <w:spacing w:after="280"/>
        <w:jc w:val="center"/>
      </w:pPr>
      <w:r>
        <w:drawing>
          <wp:inline xmlns:a="http://schemas.openxmlformats.org/drawingml/2006/main" xmlns:pic="http://schemas.openxmlformats.org/drawingml/2006/picture">
            <wp:extent cx="1234440" cy="1209996"/>
            <wp:docPr id="1" name="Picture 1" descr="Southern Tagalog Regional Hospital seal"/>
            <wp:cNvGraphicFramePr>
              <a:graphicFrameLocks noChangeAspect="1"/>
            </wp:cNvGraphicFramePr>
            <a:graphic>
              <a:graphicData uri="http://schemas.openxmlformats.org/drawingml/2006/picture">
                <pic:pic>
                  <pic:nvPicPr>
                    <pic:cNvPr id="0" name="STRH-logo.png"/>
                    <pic:cNvPicPr/>
                  </pic:nvPicPr>
                  <pic:blipFill>
                    <a:blip r:embed="rId12"/>
                    <a:stretch>
                      <a:fillRect/>
                    </a:stretch>
                  </pic:blipFill>
                  <pic:spPr>
                    <a:xfrm>
                      <a:off x="0" y="0"/>
                      <a:ext cx="1234440" cy="1209996"/>
                    </a:xfrm>
                    <a:prstGeom prst="rect"/>
                  </pic:spPr>
                </pic:pic>
              </a:graphicData>
            </a:graphic>
          </wp:inline>
        </w:drawing>
      </w:r>
    </w:p>
    <w:p>
      <w:pPr>
        <w:pStyle w:val="ProposalKicker"/>
        <w:spacing w:before="0" w:after="160"/>
        <w:jc w:val="center"/>
      </w:pPr>
      <w:r>
        <w:rPr>
          <w:rFonts w:ascii="Calibri" w:hAnsi="Calibri" w:eastAsia="Calibri"/>
          <w:b w:val="0"/>
          <w:i w:val="0"/>
        </w:rPr>
        <w:t>TECHNICAL AND IMPLEMENTATION PROPOSAL</w:t>
      </w:r>
    </w:p>
    <w:p>
      <w:pPr>
        <w:pStyle w:val="Title"/>
        <w:spacing w:before="0" w:after="80"/>
        <w:jc w:val="center"/>
      </w:pPr>
      <w:r>
        <w:rPr>
          <w:rFonts w:ascii="Calibri" w:hAnsi="Calibri" w:eastAsia="Calibri"/>
          <w:b/>
          <w:i w:val="0"/>
          <w:color w:val="000000"/>
          <w:sz w:val="56"/>
        </w:rPr>
        <w:t>Human Resource Information System</w:t>
      </w:r>
    </w:p>
    <w:p>
      <w:pPr>
        <w:pStyle w:val="Subtitle"/>
        <w:spacing w:before="0" w:after="160"/>
        <w:jc w:val="center"/>
      </w:pPr>
      <w:r>
        <w:rPr>
          <w:rFonts w:ascii="Calibri" w:hAnsi="Calibri" w:eastAsia="Calibri"/>
          <w:b w:val="0"/>
          <w:i w:val="0"/>
        </w:rPr>
        <w:t>Development, Customization, Deployment, Training, and Support</w:t>
      </w:r>
    </w:p>
    <w:p>
      <w:pPr>
        <w:spacing w:before="0" w:after="400"/>
        <w:jc w:val="center"/>
      </w:pPr>
      <w:r>
        <w:rPr>
          <w:rFonts w:ascii="Calibri" w:hAnsi="Calibri" w:eastAsia="Calibri"/>
          <w:b/>
          <w:i w:val="0"/>
          <w:color w:val="1F4D78"/>
          <w:sz w:val="22"/>
        </w:rPr>
        <w:t>Prepared for DOH - Southern Tagalog Regional Hospital</w:t>
      </w:r>
    </w:p>
    <w:p>
      <w:pPr>
        <w:spacing w:before="0" w:after="280"/>
        <w:pBdr>
          <w:bottom w:val="single" w:sz="18" w:space="1" w:color="F4B000"/>
        </w:pBdr>
      </w:pP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4680"/>
        <w:gridCol w:w="4680"/>
      </w:tblGrid>
      <w:tr>
        <w:trPr>
          <w:cantSplit/>
        </w:trPr>
        <w:tc>
          <w:tcPr>
            <w:tcW w:type="dxa" w:w="4680"/>
            <w:tcMar>
              <w:top w:w="80" w:type="dxa"/>
              <w:start w:w="120" w:type="dxa"/>
              <w:bottom w:w="80" w:type="dxa"/>
              <w:end w:w="120" w:type="dxa"/>
            </w:tcMar>
            <w:vAlign w:val="center"/>
            <w:shd w:fill="F4F6F9" w:val="clear"/>
          </w:tcPr>
          <w:p>
            <w:pPr>
              <w:pStyle w:val="TableHeader"/>
            </w:pPr>
            <w:r>
              <w:t>Prepared by</w:t>
            </w:r>
          </w:p>
        </w:tc>
        <w:tc>
          <w:tcPr>
            <w:tcW w:type="dxa" w:w="4680"/>
            <w:tcMar>
              <w:top w:w="80" w:type="dxa"/>
              <w:start w:w="120" w:type="dxa"/>
              <w:bottom w:w="80" w:type="dxa"/>
              <w:end w:w="120" w:type="dxa"/>
            </w:tcMar>
            <w:vAlign w:val="center"/>
          </w:tcPr>
          <w:p>
            <w:pPr>
              <w:pStyle w:val="TableText"/>
            </w:pPr>
            <w:r>
              <w:t>[INSERT BIDDER / SERVICE PROVIDER NAME]</w:t>
            </w:r>
          </w:p>
        </w:tc>
      </w:tr>
      <w:tr>
        <w:trPr>
          <w:cantSplit/>
        </w:trPr>
        <w:tc>
          <w:tcPr>
            <w:tcW w:type="dxa" w:w="4680"/>
            <w:tcMar>
              <w:top w:w="80" w:type="dxa"/>
              <w:start w:w="120" w:type="dxa"/>
              <w:bottom w:w="80" w:type="dxa"/>
              <w:end w:w="120" w:type="dxa"/>
            </w:tcMar>
            <w:vAlign w:val="center"/>
            <w:shd w:fill="F4F6F9" w:val="clear"/>
          </w:tcPr>
          <w:p>
            <w:pPr>
              <w:pStyle w:val="TableHeader"/>
            </w:pPr>
            <w:r>
              <w:t>Authorized representative</w:t>
            </w:r>
          </w:p>
        </w:tc>
        <w:tc>
          <w:tcPr>
            <w:tcW w:type="dxa" w:w="4680"/>
            <w:tcMar>
              <w:top w:w="80" w:type="dxa"/>
              <w:start w:w="120" w:type="dxa"/>
              <w:bottom w:w="80" w:type="dxa"/>
              <w:end w:w="120" w:type="dxa"/>
            </w:tcMar>
            <w:vAlign w:val="center"/>
          </w:tcPr>
          <w:p>
            <w:pPr>
              <w:pStyle w:val="TableText"/>
            </w:pPr>
            <w:r>
              <w:t>[INSERT NAME AND POSITION]</w:t>
            </w:r>
          </w:p>
        </w:tc>
      </w:tr>
      <w:tr>
        <w:trPr>
          <w:cantSplit/>
        </w:trPr>
        <w:tc>
          <w:tcPr>
            <w:tcW w:type="dxa" w:w="4680"/>
            <w:tcMar>
              <w:top w:w="80" w:type="dxa"/>
              <w:start w:w="120" w:type="dxa"/>
              <w:bottom w:w="80" w:type="dxa"/>
              <w:end w:w="120" w:type="dxa"/>
            </w:tcMar>
            <w:vAlign w:val="center"/>
            <w:shd w:fill="F4F6F9" w:val="clear"/>
          </w:tcPr>
          <w:p>
            <w:pPr>
              <w:pStyle w:val="TableHeader"/>
            </w:pPr>
            <w:r>
              <w:t>Proposal date</w:t>
            </w:r>
          </w:p>
        </w:tc>
        <w:tc>
          <w:tcPr>
            <w:tcW w:type="dxa" w:w="4680"/>
            <w:tcMar>
              <w:top w:w="80" w:type="dxa"/>
              <w:start w:w="120" w:type="dxa"/>
              <w:bottom w:w="80" w:type="dxa"/>
              <w:end w:w="120" w:type="dxa"/>
            </w:tcMar>
            <w:vAlign w:val="center"/>
          </w:tcPr>
          <w:p>
            <w:pPr>
              <w:pStyle w:val="TableText"/>
            </w:pPr>
            <w:r>
              <w:t>18 August 2026</w:t>
            </w:r>
          </w:p>
        </w:tc>
      </w:tr>
      <w:tr>
        <w:trPr>
          <w:cantSplit/>
        </w:trPr>
        <w:tc>
          <w:tcPr>
            <w:tcW w:type="dxa" w:w="4680"/>
            <w:tcMar>
              <w:top w:w="80" w:type="dxa"/>
              <w:start w:w="120" w:type="dxa"/>
              <w:bottom w:w="80" w:type="dxa"/>
              <w:end w:w="120" w:type="dxa"/>
            </w:tcMar>
            <w:vAlign w:val="center"/>
            <w:shd w:fill="F4F6F9" w:val="clear"/>
          </w:tcPr>
          <w:p>
            <w:pPr>
              <w:pStyle w:val="TableHeader"/>
            </w:pPr>
            <w:r>
              <w:t>Proposal reference</w:t>
            </w:r>
          </w:p>
        </w:tc>
        <w:tc>
          <w:tcPr>
            <w:tcW w:type="dxa" w:w="4680"/>
            <w:tcMar>
              <w:top w:w="80" w:type="dxa"/>
              <w:start w:w="120" w:type="dxa"/>
              <w:bottom w:w="80" w:type="dxa"/>
              <w:end w:w="120" w:type="dxa"/>
            </w:tcMar>
            <w:vAlign w:val="center"/>
          </w:tcPr>
          <w:p>
            <w:pPr>
              <w:pStyle w:val="TableText"/>
            </w:pPr>
            <w:r>
              <w:t>[INSERT REFERENCE NUMBER]</w:t>
            </w:r>
          </w:p>
        </w:tc>
      </w:tr>
    </w:tbl>
    <w:p>
      <w:pPr>
        <w:spacing w:before="0" w:after="360"/>
      </w:pPr>
    </w:p>
    <w:p>
      <w:pPr>
        <w:spacing w:before="0" w:after="0"/>
        <w:jc w:val="center"/>
      </w:pPr>
      <w:r>
        <w:rPr>
          <w:rFonts w:ascii="Calibri" w:hAnsi="Calibri" w:eastAsia="Calibri"/>
          <w:b/>
          <w:i w:val="0"/>
          <w:color w:val="667085"/>
          <w:sz w:val="18"/>
        </w:rPr>
        <w:t>DRAFT FOR REVIEW - Replace all bracketed fields and reconcile this proposal with the final bidding documents, bid bulletins, approved budget, and commercial terms before submission.</w:t>
      </w:r>
    </w:p>
    <w:p>
      <w:r>
        <w:br w:type="page"/>
      </w:r>
    </w:p>
    <w:p>
      <w:pPr>
        <w:pStyle w:val="Heading1"/>
      </w:pPr>
      <w:r>
        <w:t>Proposal Overview</w:t>
      </w:r>
    </w:p>
    <w:tbl>
      <w:tblPr>
        <w:tblW w:type="dxa" w:w="9360"/>
        <w:jc w:val="left"/>
        <w:tblLayout w:type="fixed"/>
        <w:tblLook w:firstColumn="1" w:firstRow="1" w:lastColumn="0" w:lastRow="0" w:noHBand="0" w:noVBand="1" w:val="04A0"/>
        <w:tblInd w:w="120" w:type="dxa"/>
        <w:tblBorders>
          <w:top w:val="single" w:sz="6" w:space="0" w:color="C9D8EB"/>
          <w:left w:val="single" w:sz="6" w:space="0" w:color="C9D8EB"/>
          <w:bottom w:val="single" w:sz="6" w:space="0" w:color="C9D8EB"/>
          <w:right w:val="single" w:sz="6" w:space="0" w:color="C9D8EB"/>
          <w:insideH w:val="single" w:sz="6" w:space="0" w:color="C9D8EB"/>
          <w:insideV w:val="single" w:sz="6" w:space="0" w:color="C9D8EB"/>
        </w:tblBorders>
      </w:tblPr>
      <w:tblGrid>
        <w:gridCol w:w="9360"/>
      </w:tblGrid>
      <w:tr>
        <w:trPr>
          <w:cantSplit/>
        </w:trPr>
        <w:tc>
          <w:tcPr>
            <w:tcW w:type="dxa" w:w="9360"/>
            <w:tcMar>
              <w:top w:w="80" w:type="dxa"/>
              <w:start w:w="120" w:type="dxa"/>
              <w:bottom w:w="80" w:type="dxa"/>
              <w:end w:w="120" w:type="dxa"/>
            </w:tcMar>
            <w:vAlign w:val="center"/>
            <w:shd w:fill="EEF4FB" w:val="clear"/>
          </w:tcPr>
          <w:p>
            <w:pPr>
              <w:pStyle w:val="Callout"/>
            </w:pPr>
            <w:r>
              <w:rPr>
                <w:rFonts w:ascii="Calibri" w:hAnsi="Calibri" w:eastAsia="Calibri"/>
                <w:b/>
                <w:color w:val="1F4D78"/>
                <w:sz w:val="21"/>
              </w:rPr>
              <w:t xml:space="preserve">Proposal position: </w:t>
            </w:r>
            <w:r>
              <w:rPr>
                <w:rFonts w:ascii="Calibri" w:hAnsi="Calibri" w:eastAsia="Calibri"/>
                <w:color w:val="1F4D78"/>
                <w:sz w:val="21"/>
              </w:rPr>
              <w:t>The existing HRIS is a substantial implementation baseline. This proposal distinguishes capabilities that are already available from functions that will be completed during the project, items that depend on STRH inputs, and matters requiring formal clarification. No unfinished feature is represented as currently operational.</w:t>
            </w:r>
          </w:p>
        </w:tc>
      </w:tr>
    </w:tbl>
    <w:p>
      <w:pPr>
        <w:spacing w:before="0" w:after="60"/>
      </w:pP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700"/>
        <w:gridCol w:w="6660"/>
      </w:tblGrid>
      <w:tr>
        <w:trPr>
          <w:cantSplit/>
          <w:tblHeader w:val="true"/>
        </w:trPr>
        <w:tc>
          <w:tcPr>
            <w:tcW w:type="dxa" w:w="2700"/>
            <w:tcMar>
              <w:top w:w="80" w:type="dxa"/>
              <w:start w:w="120" w:type="dxa"/>
              <w:bottom w:w="80" w:type="dxa"/>
              <w:end w:w="120" w:type="dxa"/>
            </w:tcMar>
            <w:vAlign w:val="center"/>
            <w:shd w:fill="F4F6F9" w:val="clear"/>
          </w:tcPr>
          <w:p>
            <w:pPr>
              <w:pStyle w:val="TableHeader"/>
              <w:jc w:val="left"/>
            </w:pPr>
            <w:r>
              <w:t>Document item</w:t>
            </w:r>
          </w:p>
        </w:tc>
        <w:tc>
          <w:tcPr>
            <w:tcW w:type="dxa" w:w="6660"/>
            <w:tcMar>
              <w:top w:w="80" w:type="dxa"/>
              <w:start w:w="120" w:type="dxa"/>
              <w:bottom w:w="80" w:type="dxa"/>
              <w:end w:w="120" w:type="dxa"/>
            </w:tcMar>
            <w:vAlign w:val="center"/>
            <w:shd w:fill="F4F6F9" w:val="clear"/>
          </w:tcPr>
          <w:p>
            <w:pPr>
              <w:pStyle w:val="TableHeader"/>
              <w:jc w:val="left"/>
            </w:pPr>
            <w:r>
              <w:t>Draft value</w:t>
            </w:r>
          </w:p>
        </w:tc>
      </w:tr>
      <w:tr>
        <w:trPr>
          <w:cantSplit/>
        </w:trPr>
        <w:tc>
          <w:tcPr>
            <w:tcW w:type="dxa" w:w="2700"/>
            <w:tcMar>
              <w:top w:w="80" w:type="dxa"/>
              <w:start w:w="120" w:type="dxa"/>
              <w:bottom w:w="80" w:type="dxa"/>
              <w:end w:w="120" w:type="dxa"/>
            </w:tcMar>
            <w:vAlign w:val="center"/>
          </w:tcPr>
          <w:p>
            <w:pPr>
              <w:pStyle w:val="TableText"/>
              <w:jc w:val="left"/>
            </w:pPr>
            <w:r>
              <w:t>Procuring entity</w:t>
            </w:r>
          </w:p>
        </w:tc>
        <w:tc>
          <w:tcPr>
            <w:tcW w:type="dxa" w:w="6660"/>
            <w:tcMar>
              <w:top w:w="80" w:type="dxa"/>
              <w:start w:w="120" w:type="dxa"/>
              <w:bottom w:w="80" w:type="dxa"/>
              <w:end w:w="120" w:type="dxa"/>
            </w:tcMar>
            <w:vAlign w:val="center"/>
          </w:tcPr>
          <w:p>
            <w:pPr>
              <w:pStyle w:val="TableText"/>
              <w:jc w:val="left"/>
            </w:pPr>
            <w:r>
              <w:t>DOH - Southern Tagalog Regional Hospital</w:t>
            </w:r>
          </w:p>
        </w:tc>
      </w:tr>
      <w:tr>
        <w:trPr>
          <w:cantSplit/>
        </w:trPr>
        <w:tc>
          <w:tcPr>
            <w:tcW w:type="dxa" w:w="2700"/>
            <w:tcMar>
              <w:top w:w="80" w:type="dxa"/>
              <w:start w:w="120" w:type="dxa"/>
              <w:bottom w:w="80" w:type="dxa"/>
              <w:end w:w="120" w:type="dxa"/>
            </w:tcMar>
            <w:vAlign w:val="center"/>
          </w:tcPr>
          <w:p>
            <w:pPr>
              <w:pStyle w:val="TableText"/>
              <w:jc w:val="left"/>
            </w:pPr>
            <w:r>
              <w:t>Project</w:t>
            </w:r>
          </w:p>
        </w:tc>
        <w:tc>
          <w:tcPr>
            <w:tcW w:type="dxa" w:w="6660"/>
            <w:tcMar>
              <w:top w:w="80" w:type="dxa"/>
              <w:start w:w="120" w:type="dxa"/>
              <w:bottom w:w="80" w:type="dxa"/>
              <w:end w:w="120" w:type="dxa"/>
            </w:tcMar>
            <w:vAlign w:val="center"/>
          </w:tcPr>
          <w:p>
            <w:pPr>
              <w:pStyle w:val="TableText"/>
              <w:jc w:val="left"/>
            </w:pPr>
            <w:r>
              <w:t>Development of a Human Resource Information System</w:t>
            </w:r>
          </w:p>
        </w:tc>
      </w:tr>
      <w:tr>
        <w:trPr>
          <w:cantSplit/>
        </w:trPr>
        <w:tc>
          <w:tcPr>
            <w:tcW w:type="dxa" w:w="2700"/>
            <w:tcMar>
              <w:top w:w="80" w:type="dxa"/>
              <w:start w:w="120" w:type="dxa"/>
              <w:bottom w:w="80" w:type="dxa"/>
              <w:end w:w="120" w:type="dxa"/>
            </w:tcMar>
            <w:vAlign w:val="center"/>
          </w:tcPr>
          <w:p>
            <w:pPr>
              <w:pStyle w:val="TableText"/>
              <w:jc w:val="left"/>
            </w:pPr>
            <w:r>
              <w:t>Proposal type</w:t>
            </w:r>
          </w:p>
        </w:tc>
        <w:tc>
          <w:tcPr>
            <w:tcW w:type="dxa" w:w="6660"/>
            <w:tcMar>
              <w:top w:w="80" w:type="dxa"/>
              <w:start w:w="120" w:type="dxa"/>
              <w:bottom w:w="80" w:type="dxa"/>
              <w:end w:w="120" w:type="dxa"/>
            </w:tcMar>
            <w:vAlign w:val="center"/>
          </w:tcPr>
          <w:p>
            <w:pPr>
              <w:pStyle w:val="TableText"/>
              <w:jc w:val="left"/>
            </w:pPr>
            <w:r>
              <w:t>Technical and Implementation Proposal</w:t>
            </w:r>
          </w:p>
        </w:tc>
      </w:tr>
      <w:tr>
        <w:trPr>
          <w:cantSplit/>
        </w:trPr>
        <w:tc>
          <w:tcPr>
            <w:tcW w:type="dxa" w:w="2700"/>
            <w:tcMar>
              <w:top w:w="80" w:type="dxa"/>
              <w:start w:w="120" w:type="dxa"/>
              <w:bottom w:w="80" w:type="dxa"/>
              <w:end w:w="120" w:type="dxa"/>
            </w:tcMar>
            <w:vAlign w:val="center"/>
          </w:tcPr>
          <w:p>
            <w:pPr>
              <w:pStyle w:val="TableText"/>
              <w:jc w:val="left"/>
            </w:pPr>
            <w:r>
              <w:t>Implementation period</w:t>
            </w:r>
          </w:p>
        </w:tc>
        <w:tc>
          <w:tcPr>
            <w:tcW w:type="dxa" w:w="6660"/>
            <w:tcMar>
              <w:top w:w="80" w:type="dxa"/>
              <w:start w:w="120" w:type="dxa"/>
              <w:bottom w:w="80" w:type="dxa"/>
              <w:end w:w="120" w:type="dxa"/>
            </w:tcMar>
            <w:vAlign w:val="center"/>
          </w:tcPr>
          <w:p>
            <w:pPr>
              <w:pStyle w:val="TableText"/>
              <w:jc w:val="left"/>
            </w:pPr>
            <w:r>
              <w:t>Thirty-two (32) calendar weeks from Notice to Proceed, subject to approved dependencies</w:t>
            </w:r>
          </w:p>
        </w:tc>
      </w:tr>
      <w:tr>
        <w:trPr>
          <w:cantSplit/>
        </w:trPr>
        <w:tc>
          <w:tcPr>
            <w:tcW w:type="dxa" w:w="2700"/>
            <w:tcMar>
              <w:top w:w="80" w:type="dxa"/>
              <w:start w:w="120" w:type="dxa"/>
              <w:bottom w:w="80" w:type="dxa"/>
              <w:end w:w="120" w:type="dxa"/>
            </w:tcMar>
            <w:vAlign w:val="center"/>
          </w:tcPr>
          <w:p>
            <w:pPr>
              <w:pStyle w:val="TableText"/>
              <w:jc w:val="left"/>
            </w:pPr>
            <w:r>
              <w:t>Support / warranty</w:t>
            </w:r>
          </w:p>
        </w:tc>
        <w:tc>
          <w:tcPr>
            <w:tcW w:type="dxa" w:w="6660"/>
            <w:tcMar>
              <w:top w:w="80" w:type="dxa"/>
              <w:start w:w="120" w:type="dxa"/>
              <w:bottom w:w="80" w:type="dxa"/>
              <w:end w:w="120" w:type="dxa"/>
            </w:tcMar>
            <w:vAlign w:val="center"/>
          </w:tcPr>
          <w:p>
            <w:pPr>
              <w:pStyle w:val="TableText"/>
              <w:jc w:val="left"/>
            </w:pPr>
            <w:r>
              <w:t>To be finalized against the bidding documents and commercial schedule</w:t>
            </w:r>
          </w:p>
        </w:tc>
      </w:tr>
      <w:tr>
        <w:trPr>
          <w:cantSplit/>
        </w:trPr>
        <w:tc>
          <w:tcPr>
            <w:tcW w:type="dxa" w:w="2700"/>
            <w:tcMar>
              <w:top w:w="80" w:type="dxa"/>
              <w:start w:w="120" w:type="dxa"/>
              <w:bottom w:w="80" w:type="dxa"/>
              <w:end w:w="120" w:type="dxa"/>
            </w:tcMar>
            <w:vAlign w:val="center"/>
          </w:tcPr>
          <w:p>
            <w:pPr>
              <w:pStyle w:val="TableText"/>
              <w:jc w:val="left"/>
            </w:pPr>
            <w:r>
              <w:t>Commercial validity</w:t>
            </w:r>
          </w:p>
        </w:tc>
        <w:tc>
          <w:tcPr>
            <w:tcW w:type="dxa" w:w="6660"/>
            <w:tcMar>
              <w:top w:w="80" w:type="dxa"/>
              <w:start w:w="120" w:type="dxa"/>
              <w:bottom w:w="80" w:type="dxa"/>
              <w:end w:w="120" w:type="dxa"/>
            </w:tcMar>
            <w:vAlign w:val="center"/>
          </w:tcPr>
          <w:p>
            <w:pPr>
              <w:pStyle w:val="TableText"/>
              <w:jc w:val="left"/>
            </w:pPr>
            <w:r>
              <w:t>[INSERT VALIDITY PERIOD]</w:t>
            </w:r>
          </w:p>
        </w:tc>
      </w:tr>
    </w:tbl>
    <w:p>
      <w:pPr>
        <w:spacing w:before="0" w:after="40"/>
      </w:pPr>
    </w:p>
    <w:p>
      <w:pPr>
        <w:pStyle w:val="Heading2"/>
      </w:pPr>
      <w:r>
        <w:t>Status Definitions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00"/>
        <w:gridCol w:w="6860"/>
      </w:tblGrid>
      <w:tr>
        <w:trPr>
          <w:cantSplit/>
          <w:tblHeader w:val="true"/>
        </w:trPr>
        <w:tc>
          <w:tcPr>
            <w:tcW w:type="dxa" w:w="2500"/>
            <w:tcMar>
              <w:top w:w="80" w:type="dxa"/>
              <w:start w:w="120" w:type="dxa"/>
              <w:bottom w:w="80" w:type="dxa"/>
              <w:end w:w="120" w:type="dxa"/>
            </w:tcMar>
            <w:vAlign w:val="center"/>
            <w:shd w:fill="F4F6F9" w:val="clear"/>
          </w:tcPr>
          <w:p>
            <w:pPr>
              <w:pStyle w:val="TableHeader"/>
              <w:jc w:val="left"/>
            </w:pPr>
            <w:r>
              <w:t>Status</w:t>
            </w:r>
          </w:p>
        </w:tc>
        <w:tc>
          <w:tcPr>
            <w:tcW w:type="dxa" w:w="6860"/>
            <w:tcMar>
              <w:top w:w="80" w:type="dxa"/>
              <w:start w:w="120" w:type="dxa"/>
              <w:bottom w:w="80" w:type="dxa"/>
              <w:end w:w="120" w:type="dxa"/>
            </w:tcMar>
            <w:vAlign w:val="center"/>
            <w:shd w:fill="F4F6F9" w:val="clear"/>
          </w:tcPr>
          <w:p>
            <w:pPr>
              <w:pStyle w:val="TableHeader"/>
              <w:jc w:val="left"/>
            </w:pPr>
            <w:r>
              <w:t>Meaning in this proposal</w:t>
            </w:r>
          </w:p>
        </w:tc>
      </w:tr>
      <w:tr>
        <w:trPr>
          <w:cantSplit/>
        </w:trPr>
        <w:tc>
          <w:tcPr>
            <w:tcW w:type="dxa" w:w="2500"/>
            <w:tcMar>
              <w:top w:w="80" w:type="dxa"/>
              <w:start w:w="120" w:type="dxa"/>
              <w:bottom w:w="80" w:type="dxa"/>
              <w:end w:w="120" w:type="dxa"/>
            </w:tcMar>
            <w:vAlign w:val="center"/>
            <w:shd w:fill="EAF5EE" w:val="clear"/>
          </w:tcPr>
          <w:p>
            <w:pPr>
              <w:pStyle w:val="TableText"/>
              <w:jc w:val="left"/>
            </w:pPr>
            <w:r>
              <w:t>Available baseline</w:t>
            </w:r>
          </w:p>
        </w:tc>
        <w:tc>
          <w:tcPr>
            <w:tcW w:type="dxa" w:w="6860"/>
            <w:tcMar>
              <w:top w:w="80" w:type="dxa"/>
              <w:start w:w="120" w:type="dxa"/>
              <w:bottom w:w="80" w:type="dxa"/>
              <w:end w:w="120" w:type="dxa"/>
            </w:tcMar>
            <w:vAlign w:val="center"/>
          </w:tcPr>
          <w:p>
            <w:pPr>
              <w:pStyle w:val="TableText"/>
              <w:jc w:val="left"/>
            </w:pPr>
            <w:r>
              <w:t>Implemented in the current solution and available for demonstration, subject to configuration, data validation, security review, and UAT.</w:t>
            </w:r>
          </w:p>
        </w:tc>
      </w:tr>
      <w:tr>
        <w:trPr>
          <w:cantSplit/>
        </w:trPr>
        <w:tc>
          <w:tcPr>
            <w:tcW w:type="dxa" w:w="2500"/>
            <w:tcMar>
              <w:top w:w="80" w:type="dxa"/>
              <w:start w:w="120" w:type="dxa"/>
              <w:bottom w:w="80" w:type="dxa"/>
              <w:end w:w="120" w:type="dxa"/>
            </w:tcMar>
            <w:vAlign w:val="center"/>
            <w:shd w:fill="EEF4FB" w:val="clear"/>
          </w:tcPr>
          <w:p>
            <w:pPr>
              <w:pStyle w:val="TableText"/>
              <w:jc w:val="left"/>
            </w:pPr>
            <w:r>
              <w:t>Included for completion</w:t>
            </w:r>
          </w:p>
        </w:tc>
        <w:tc>
          <w:tcPr>
            <w:tcW w:type="dxa" w:w="6860"/>
            <w:tcMar>
              <w:top w:w="80" w:type="dxa"/>
              <w:start w:w="120" w:type="dxa"/>
              <w:bottom w:w="80" w:type="dxa"/>
              <w:end w:w="120" w:type="dxa"/>
            </w:tcMar>
            <w:vAlign w:val="center"/>
          </w:tcPr>
          <w:p>
            <w:pPr>
              <w:pStyle w:val="TableText"/>
              <w:jc w:val="left"/>
            </w:pPr>
            <w:r>
              <w:t>Not yet complete. Included as a project deliverable with a milestone and acceptance criterion.</w:t>
            </w:r>
          </w:p>
        </w:tc>
      </w:tr>
      <w:tr>
        <w:trPr>
          <w:cantSplit/>
        </w:trPr>
        <w:tc>
          <w:tcPr>
            <w:tcW w:type="dxa" w:w="2500"/>
            <w:tcMar>
              <w:top w:w="80" w:type="dxa"/>
              <w:start w:w="120" w:type="dxa"/>
              <w:bottom w:w="80" w:type="dxa"/>
              <w:end w:w="120" w:type="dxa"/>
            </w:tcMar>
            <w:vAlign w:val="center"/>
            <w:shd w:fill="FFF6D8" w:val="clear"/>
          </w:tcPr>
          <w:p>
            <w:pPr>
              <w:pStyle w:val="TableText"/>
              <w:jc w:val="left"/>
            </w:pPr>
            <w:r>
              <w:t>STRH dependency</w:t>
            </w:r>
          </w:p>
        </w:tc>
        <w:tc>
          <w:tcPr>
            <w:tcW w:type="dxa" w:w="6860"/>
            <w:tcMar>
              <w:top w:w="80" w:type="dxa"/>
              <w:start w:w="120" w:type="dxa"/>
              <w:bottom w:w="80" w:type="dxa"/>
              <w:end w:w="120" w:type="dxa"/>
            </w:tcMar>
            <w:vAlign w:val="center"/>
          </w:tcPr>
          <w:p>
            <w:pPr>
              <w:pStyle w:val="TableText"/>
              <w:jc w:val="left"/>
            </w:pPr>
            <w:r>
              <w:t>Completion requires official data, forms, policies, signatories, infrastructure, devices, access, or a documented STRH decision.</w:t>
            </w:r>
          </w:p>
        </w:tc>
      </w:tr>
      <w:tr>
        <w:trPr>
          <w:cantSplit/>
        </w:trPr>
        <w:tc>
          <w:tcPr>
            <w:tcW w:type="dxa" w:w="2500"/>
            <w:tcMar>
              <w:top w:w="80" w:type="dxa"/>
              <w:start w:w="120" w:type="dxa"/>
              <w:bottom w:w="80" w:type="dxa"/>
              <w:end w:w="120" w:type="dxa"/>
            </w:tcMar>
            <w:vAlign w:val="center"/>
            <w:shd w:fill="FDECEC" w:val="clear"/>
          </w:tcPr>
          <w:p>
            <w:pPr>
              <w:pStyle w:val="TableText"/>
              <w:jc w:val="left"/>
            </w:pPr>
            <w:r>
              <w:t>Clarification required</w:t>
            </w:r>
          </w:p>
        </w:tc>
        <w:tc>
          <w:tcPr>
            <w:tcW w:type="dxa" w:w="6860"/>
            <w:tcMar>
              <w:top w:w="80" w:type="dxa"/>
              <w:start w:w="120" w:type="dxa"/>
              <w:bottom w:w="80" w:type="dxa"/>
              <w:end w:w="120" w:type="dxa"/>
            </w:tcMar>
            <w:vAlign w:val="center"/>
          </w:tcPr>
          <w:p>
            <w:pPr>
              <w:pStyle w:val="TableText"/>
              <w:jc w:val="left"/>
            </w:pPr>
            <w:r>
              <w:t>The TOR or final bidding documents must resolve the requirement before a compliance commitment, price, or acceptance method is finalized.</w:t>
            </w:r>
          </w:p>
        </w:tc>
      </w:tr>
      <w:tr>
        <w:trPr>
          <w:cantSplit/>
        </w:trPr>
        <w:tc>
          <w:tcPr>
            <w:tcW w:type="dxa" w:w="2500"/>
            <w:tcMar>
              <w:top w:w="80" w:type="dxa"/>
              <w:start w:w="120" w:type="dxa"/>
              <w:bottom w:w="80" w:type="dxa"/>
              <w:end w:w="120" w:type="dxa"/>
            </w:tcMar>
            <w:vAlign w:val="center"/>
          </w:tcPr>
          <w:p>
            <w:pPr>
              <w:pStyle w:val="TableText"/>
              <w:jc w:val="left"/>
            </w:pPr>
            <w:r>
              <w:t>Optional enhancement</w:t>
            </w:r>
          </w:p>
        </w:tc>
        <w:tc>
          <w:tcPr>
            <w:tcW w:type="dxa" w:w="6860"/>
            <w:tcMar>
              <w:top w:w="80" w:type="dxa"/>
              <w:start w:w="120" w:type="dxa"/>
              <w:bottom w:w="80" w:type="dxa"/>
              <w:end w:w="120" w:type="dxa"/>
            </w:tcMar>
            <w:vAlign w:val="center"/>
          </w:tcPr>
          <w:p>
            <w:pPr>
              <w:pStyle w:val="TableText"/>
              <w:jc w:val="left"/>
            </w:pPr>
            <w:r>
              <w:t>Excluded from the base offer unless expressly selected and priced.</w:t>
            </w:r>
          </w:p>
        </w:tc>
      </w:tr>
    </w:tbl>
    <w:p>
      <w:pPr>
        <w:spacing w:before="0" w:after="40"/>
      </w:pPr>
    </w:p>
    <w:p>
      <w:r>
        <w:br w:type="page"/>
      </w:r>
    </w:p>
    <w:p>
      <w:pPr>
        <w:pStyle w:val="Heading1"/>
      </w:pPr>
      <w:r>
        <w:t>Contents</w:t>
      </w:r>
    </w:p>
    <w:p>
      <w:pPr>
        <w:numPr>
          <w:ilvl w:val="0"/>
          <w:numId w:val="90"/>
        </w:numPr>
        <w:spacing w:after="80" w:line="290" w:lineRule="auto"/>
      </w:pPr>
      <w:r>
        <w:rPr>
          <w:rFonts w:ascii="Calibri" w:hAnsi="Calibri" w:eastAsia="Calibri"/>
          <w:color w:val="1F2937"/>
          <w:sz w:val="22"/>
        </w:rPr>
        <w:t>1. Executive Summary</w:t>
      </w:r>
    </w:p>
    <w:p>
      <w:pPr>
        <w:numPr>
          <w:ilvl w:val="0"/>
          <w:numId w:val="90"/>
        </w:numPr>
        <w:spacing w:after="80" w:line="290" w:lineRule="auto"/>
      </w:pPr>
      <w:r>
        <w:rPr>
          <w:rFonts w:ascii="Calibri" w:hAnsi="Calibri" w:eastAsia="Calibri"/>
          <w:color w:val="1F2937"/>
          <w:sz w:val="22"/>
        </w:rPr>
        <w:t>2. Understanding of the Requirement</w:t>
      </w:r>
    </w:p>
    <w:p>
      <w:pPr>
        <w:numPr>
          <w:ilvl w:val="0"/>
          <w:numId w:val="90"/>
        </w:numPr>
        <w:spacing w:after="80" w:line="290" w:lineRule="auto"/>
      </w:pPr>
      <w:r>
        <w:rPr>
          <w:rFonts w:ascii="Calibri" w:hAnsi="Calibri" w:eastAsia="Calibri"/>
          <w:color w:val="1F2937"/>
          <w:sz w:val="22"/>
        </w:rPr>
        <w:t>3. Proposed HRIS Scope</w:t>
      </w:r>
    </w:p>
    <w:p>
      <w:pPr>
        <w:numPr>
          <w:ilvl w:val="0"/>
          <w:numId w:val="90"/>
        </w:numPr>
        <w:spacing w:after="80" w:line="290" w:lineRule="auto"/>
      </w:pPr>
      <w:r>
        <w:rPr>
          <w:rFonts w:ascii="Calibri" w:hAnsi="Calibri" w:eastAsia="Calibri"/>
          <w:color w:val="1F2937"/>
          <w:sz w:val="22"/>
        </w:rPr>
        <w:t>4. Technical Architecture and Security</w:t>
      </w:r>
    </w:p>
    <w:p>
      <w:pPr>
        <w:numPr>
          <w:ilvl w:val="0"/>
          <w:numId w:val="90"/>
        </w:numPr>
        <w:spacing w:after="80" w:line="290" w:lineRule="auto"/>
      </w:pPr>
      <w:r>
        <w:rPr>
          <w:rFonts w:ascii="Calibri" w:hAnsi="Calibri" w:eastAsia="Calibri"/>
          <w:color w:val="1F2937"/>
          <w:sz w:val="22"/>
        </w:rPr>
        <w:t>5. Implementation Methodology and Schedule</w:t>
      </w:r>
    </w:p>
    <w:p>
      <w:pPr>
        <w:numPr>
          <w:ilvl w:val="0"/>
          <w:numId w:val="90"/>
        </w:numPr>
        <w:spacing w:after="80" w:line="290" w:lineRule="auto"/>
      </w:pPr>
      <w:r>
        <w:rPr>
          <w:rFonts w:ascii="Calibri" w:hAnsi="Calibri" w:eastAsia="Calibri"/>
          <w:color w:val="1F2937"/>
          <w:sz w:val="22"/>
        </w:rPr>
        <w:t>6. Data Migration, Integration, and Deployment</w:t>
      </w:r>
    </w:p>
    <w:p>
      <w:pPr>
        <w:numPr>
          <w:ilvl w:val="0"/>
          <w:numId w:val="90"/>
        </w:numPr>
        <w:spacing w:after="80" w:line="290" w:lineRule="auto"/>
      </w:pPr>
      <w:r>
        <w:rPr>
          <w:rFonts w:ascii="Calibri" w:hAnsi="Calibri" w:eastAsia="Calibri"/>
          <w:color w:val="1F2937"/>
          <w:sz w:val="22"/>
        </w:rPr>
        <w:t>7. Testing, Acceptance, and Quality Assurance</w:t>
      </w:r>
    </w:p>
    <w:p>
      <w:pPr>
        <w:numPr>
          <w:ilvl w:val="0"/>
          <w:numId w:val="90"/>
        </w:numPr>
        <w:spacing w:after="80" w:line="290" w:lineRule="auto"/>
      </w:pPr>
      <w:r>
        <w:rPr>
          <w:rFonts w:ascii="Calibri" w:hAnsi="Calibri" w:eastAsia="Calibri"/>
          <w:color w:val="1F2937"/>
          <w:sz w:val="22"/>
        </w:rPr>
        <w:t>8. Training, Documentation, Support, and Warranty</w:t>
      </w:r>
    </w:p>
    <w:p>
      <w:pPr>
        <w:numPr>
          <w:ilvl w:val="0"/>
          <w:numId w:val="90"/>
        </w:numPr>
        <w:spacing w:after="80" w:line="290" w:lineRule="auto"/>
      </w:pPr>
      <w:r>
        <w:rPr>
          <w:rFonts w:ascii="Calibri" w:hAnsi="Calibri" w:eastAsia="Calibri"/>
          <w:color w:val="1F2937"/>
          <w:sz w:val="22"/>
        </w:rPr>
        <w:t>9. Deliverables and Acceptance Matrix</w:t>
      </w:r>
    </w:p>
    <w:p>
      <w:pPr>
        <w:numPr>
          <w:ilvl w:val="0"/>
          <w:numId w:val="90"/>
        </w:numPr>
        <w:spacing w:after="80" w:line="290" w:lineRule="auto"/>
      </w:pPr>
      <w:r>
        <w:rPr>
          <w:rFonts w:ascii="Calibri" w:hAnsi="Calibri" w:eastAsia="Calibri"/>
          <w:color w:val="1F2937"/>
          <w:sz w:val="22"/>
        </w:rPr>
        <w:t>10. Assumptions, Dependencies, Clarifications, and Exclusions</w:t>
      </w:r>
    </w:p>
    <w:p>
      <w:pPr>
        <w:numPr>
          <w:ilvl w:val="0"/>
          <w:numId w:val="90"/>
        </w:numPr>
        <w:spacing w:after="80" w:line="290" w:lineRule="auto"/>
      </w:pPr>
      <w:r>
        <w:rPr>
          <w:rFonts w:ascii="Calibri" w:hAnsi="Calibri" w:eastAsia="Calibri"/>
          <w:color w:val="1F2937"/>
          <w:sz w:val="22"/>
        </w:rPr>
        <w:t>11. Commercial Proposal</w:t>
      </w:r>
    </w:p>
    <w:p>
      <w:pPr>
        <w:numPr>
          <w:ilvl w:val="0"/>
          <w:numId w:val="90"/>
        </w:numPr>
        <w:spacing w:after="80" w:line="290" w:lineRule="auto"/>
      </w:pPr>
      <w:r>
        <w:rPr>
          <w:rFonts w:ascii="Calibri" w:hAnsi="Calibri" w:eastAsia="Calibri"/>
          <w:color w:val="1F2937"/>
          <w:sz w:val="22"/>
        </w:rPr>
        <w:t>12. Proposal Acceptance and Authorization</w:t>
      </w:r>
    </w:p>
    <w:p>
      <w:pPr>
        <w:pStyle w:val="Heading2"/>
      </w:pPr>
      <w:r>
        <w:t>Document Control</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00"/>
        <w:gridCol w:w="6860"/>
      </w:tblGrid>
      <w:tr>
        <w:trPr>
          <w:cantSplit/>
          <w:tblHeader w:val="true"/>
        </w:trPr>
        <w:tc>
          <w:tcPr>
            <w:tcW w:type="dxa" w:w="2500"/>
            <w:tcMar>
              <w:top w:w="80" w:type="dxa"/>
              <w:start w:w="120" w:type="dxa"/>
              <w:bottom w:w="80" w:type="dxa"/>
              <w:end w:w="120" w:type="dxa"/>
            </w:tcMar>
            <w:vAlign w:val="center"/>
            <w:shd w:fill="F4F6F9" w:val="clear"/>
          </w:tcPr>
          <w:p>
            <w:pPr>
              <w:pStyle w:val="TableHeader"/>
              <w:jc w:val="left"/>
            </w:pPr>
            <w:r>
              <w:t>Control</w:t>
            </w:r>
          </w:p>
        </w:tc>
        <w:tc>
          <w:tcPr>
            <w:tcW w:type="dxa" w:w="6860"/>
            <w:tcMar>
              <w:top w:w="80" w:type="dxa"/>
              <w:start w:w="120" w:type="dxa"/>
              <w:bottom w:w="80" w:type="dxa"/>
              <w:end w:w="120" w:type="dxa"/>
            </w:tcMar>
            <w:vAlign w:val="center"/>
            <w:shd w:fill="F4F6F9" w:val="clear"/>
          </w:tcPr>
          <w:p>
            <w:pPr>
              <w:pStyle w:val="TableHeader"/>
              <w:jc w:val="left"/>
            </w:pPr>
            <w:r>
              <w:t>Draft value</w:t>
            </w:r>
          </w:p>
        </w:tc>
      </w:tr>
      <w:tr>
        <w:trPr>
          <w:cantSplit/>
        </w:trPr>
        <w:tc>
          <w:tcPr>
            <w:tcW w:type="dxa" w:w="2500"/>
            <w:tcMar>
              <w:top w:w="80" w:type="dxa"/>
              <w:start w:w="120" w:type="dxa"/>
              <w:bottom w:w="80" w:type="dxa"/>
              <w:end w:w="120" w:type="dxa"/>
            </w:tcMar>
            <w:vAlign w:val="center"/>
          </w:tcPr>
          <w:p>
            <w:pPr>
              <w:pStyle w:val="TableText"/>
              <w:jc w:val="left"/>
            </w:pPr>
            <w:r>
              <w:t>Version</w:t>
            </w:r>
          </w:p>
        </w:tc>
        <w:tc>
          <w:tcPr>
            <w:tcW w:type="dxa" w:w="6860"/>
            <w:tcMar>
              <w:top w:w="80" w:type="dxa"/>
              <w:start w:w="120" w:type="dxa"/>
              <w:bottom w:w="80" w:type="dxa"/>
              <w:end w:w="120" w:type="dxa"/>
            </w:tcMar>
            <w:vAlign w:val="center"/>
          </w:tcPr>
          <w:p>
            <w:pPr>
              <w:pStyle w:val="TableText"/>
              <w:jc w:val="left"/>
            </w:pPr>
            <w:r>
              <w:t>0.1</w:t>
            </w:r>
          </w:p>
        </w:tc>
      </w:tr>
      <w:tr>
        <w:trPr>
          <w:cantSplit/>
        </w:trPr>
        <w:tc>
          <w:tcPr>
            <w:tcW w:type="dxa" w:w="2500"/>
            <w:tcMar>
              <w:top w:w="80" w:type="dxa"/>
              <w:start w:w="120" w:type="dxa"/>
              <w:bottom w:w="80" w:type="dxa"/>
              <w:end w:w="120" w:type="dxa"/>
            </w:tcMar>
            <w:vAlign w:val="center"/>
          </w:tcPr>
          <w:p>
            <w:pPr>
              <w:pStyle w:val="TableText"/>
              <w:jc w:val="left"/>
            </w:pPr>
            <w:r>
              <w:t>Status</w:t>
            </w:r>
          </w:p>
        </w:tc>
        <w:tc>
          <w:tcPr>
            <w:tcW w:type="dxa" w:w="6860"/>
            <w:tcMar>
              <w:top w:w="80" w:type="dxa"/>
              <w:start w:w="120" w:type="dxa"/>
              <w:bottom w:w="80" w:type="dxa"/>
              <w:end w:w="120" w:type="dxa"/>
            </w:tcMar>
            <w:vAlign w:val="center"/>
          </w:tcPr>
          <w:p>
            <w:pPr>
              <w:pStyle w:val="TableText"/>
              <w:jc w:val="left"/>
            </w:pPr>
            <w:r>
              <w:t>Draft for review and completion</w:t>
            </w:r>
          </w:p>
        </w:tc>
      </w:tr>
      <w:tr>
        <w:trPr>
          <w:cantSplit/>
        </w:trPr>
        <w:tc>
          <w:tcPr>
            <w:tcW w:type="dxa" w:w="2500"/>
            <w:tcMar>
              <w:top w:w="80" w:type="dxa"/>
              <w:start w:w="120" w:type="dxa"/>
              <w:bottom w:w="80" w:type="dxa"/>
              <w:end w:w="120" w:type="dxa"/>
            </w:tcMar>
            <w:vAlign w:val="center"/>
          </w:tcPr>
          <w:p>
            <w:pPr>
              <w:pStyle w:val="TableText"/>
              <w:jc w:val="left"/>
            </w:pPr>
            <w:r>
              <w:t>Date</w:t>
            </w:r>
          </w:p>
        </w:tc>
        <w:tc>
          <w:tcPr>
            <w:tcW w:type="dxa" w:w="6860"/>
            <w:tcMar>
              <w:top w:w="80" w:type="dxa"/>
              <w:start w:w="120" w:type="dxa"/>
              <w:bottom w:w="80" w:type="dxa"/>
              <w:end w:w="120" w:type="dxa"/>
            </w:tcMar>
            <w:vAlign w:val="center"/>
          </w:tcPr>
          <w:p>
            <w:pPr>
              <w:pStyle w:val="TableText"/>
              <w:jc w:val="left"/>
            </w:pPr>
            <w:r>
              <w:t>18 August 2026</w:t>
            </w:r>
          </w:p>
        </w:tc>
      </w:tr>
      <w:tr>
        <w:trPr>
          <w:cantSplit/>
        </w:trPr>
        <w:tc>
          <w:tcPr>
            <w:tcW w:type="dxa" w:w="2500"/>
            <w:tcMar>
              <w:top w:w="80" w:type="dxa"/>
              <w:start w:w="120" w:type="dxa"/>
              <w:bottom w:w="80" w:type="dxa"/>
              <w:end w:w="120" w:type="dxa"/>
            </w:tcMar>
            <w:vAlign w:val="center"/>
          </w:tcPr>
          <w:p>
            <w:pPr>
              <w:pStyle w:val="TableText"/>
              <w:jc w:val="left"/>
            </w:pPr>
            <w:r>
              <w:t>Proposal owner</w:t>
            </w:r>
          </w:p>
        </w:tc>
        <w:tc>
          <w:tcPr>
            <w:tcW w:type="dxa" w:w="6860"/>
            <w:tcMar>
              <w:top w:w="80" w:type="dxa"/>
              <w:start w:w="120" w:type="dxa"/>
              <w:bottom w:w="80" w:type="dxa"/>
              <w:end w:w="120" w:type="dxa"/>
            </w:tcMar>
            <w:vAlign w:val="center"/>
          </w:tcPr>
          <w:p>
            <w:pPr>
              <w:pStyle w:val="TableText"/>
              <w:jc w:val="left"/>
            </w:pPr>
            <w:r>
              <w:t>[INSERT BIDDER / SERVICE PROVIDER NAME]</w:t>
            </w:r>
          </w:p>
        </w:tc>
      </w:tr>
      <w:tr>
        <w:trPr>
          <w:cantSplit/>
        </w:trPr>
        <w:tc>
          <w:tcPr>
            <w:tcW w:type="dxa" w:w="2500"/>
            <w:tcMar>
              <w:top w:w="80" w:type="dxa"/>
              <w:start w:w="120" w:type="dxa"/>
              <w:bottom w:w="80" w:type="dxa"/>
              <w:end w:w="120" w:type="dxa"/>
            </w:tcMar>
            <w:vAlign w:val="center"/>
          </w:tcPr>
          <w:p>
            <w:pPr>
              <w:pStyle w:val="TableText"/>
              <w:jc w:val="left"/>
            </w:pPr>
            <w:r>
              <w:t>Primary basis</w:t>
            </w:r>
          </w:p>
        </w:tc>
        <w:tc>
          <w:tcPr>
            <w:tcW w:type="dxa" w:w="6860"/>
            <w:tcMar>
              <w:top w:w="80" w:type="dxa"/>
              <w:start w:w="120" w:type="dxa"/>
              <w:bottom w:w="80" w:type="dxa"/>
              <w:end w:w="120" w:type="dxa"/>
            </w:tcMar>
            <w:vAlign w:val="center"/>
          </w:tcPr>
          <w:p>
            <w:pPr>
              <w:pStyle w:val="TableText"/>
              <w:jc w:val="left"/>
            </w:pPr>
            <w:r>
              <w:t>STRH Terms of Reference and current HRIS implementation baseline</w:t>
            </w:r>
          </w:p>
        </w:tc>
      </w:tr>
    </w:tbl>
    <w:p>
      <w:pPr>
        <w:spacing w:before="0" w:after="40"/>
      </w:pPr>
    </w:p>
    <w:p>
      <w:r>
        <w:br w:type="page"/>
      </w:r>
    </w:p>
    <w:p>
      <w:pPr>
        <w:pStyle w:val="Heading1"/>
      </w:pPr>
      <w:r>
        <w:t>1. Executive Summary</w:t>
      </w:r>
    </w:p>
    <w:p>
      <w:pPr>
        <w:spacing w:before="0" w:after="160"/>
      </w:pPr>
      <w:r>
        <w:rPr>
          <w:rFonts w:ascii="Calibri" w:hAnsi="Calibri" w:eastAsia="Calibri"/>
          <w:b w:val="0"/>
          <w:i w:val="0"/>
        </w:rPr>
        <w:t>[INSERT BIDDER / SERVICE PROVIDER NAME] respectfully submits this proposal for the development, customization, installation, configuration, deployment, training, and support of a secure Human Resource Information System for DOH - Southern Tagalog Regional Hospital (STRH). The proposed engagement uses the existing HRIS implementation as an accelerator while retaining a controlled requirements-validation, completion, testing, and acceptance process.</w:t>
      </w:r>
    </w:p>
    <w:p>
      <w:pPr>
        <w:spacing w:before="0" w:after="160"/>
      </w:pPr>
      <w:r>
        <w:rPr>
          <w:rFonts w:ascii="Calibri" w:hAnsi="Calibri" w:eastAsia="Calibri"/>
          <w:b w:val="0"/>
          <w:i w:val="0"/>
        </w:rPr>
        <w:t>The proposed solution is designed to centralize employee information, digitize 201 files, manage Plantilla and personnel movements, process attendance and leave, integrate biometric devices, provide employee self-service, generate management information, and strengthen auditability and access control. The project also covers deployment preparation, data migration, documentation, training, warranty, and support activities required for operational adoption.</w:t>
      </w:r>
    </w:p>
    <w:p>
      <w:pPr>
        <w:spacing w:before="0" w:after="160"/>
      </w:pPr>
      <w:r>
        <w:rPr>
          <w:rFonts w:ascii="Calibri" w:hAnsi="Calibri" w:eastAsia="Calibri"/>
          <w:b w:val="0"/>
          <w:i w:val="0"/>
        </w:rPr>
        <w:t>The current baseline already contains major HR workflows. Several TOR requirements remain to be completed or formally validated. These items are presented as scheduled deliverables rather than as existing capabilities. Final compliance will be demonstrated through agreed acceptance criteria, STRH-approved templates and policies, role-based UAT, deployment validation, and documented sign-off.</w:t>
      </w:r>
    </w:p>
    <w:p>
      <w:pPr>
        <w:pStyle w:val="Heading2"/>
      </w:pPr>
      <w:r>
        <w:t>Proposed outcomes</w:t>
      </w:r>
    </w:p>
    <w:p>
      <w:pPr>
        <w:numPr>
          <w:ilvl w:val="0"/>
          <w:numId w:val="90"/>
        </w:numPr>
        <w:spacing w:after="80" w:line="290" w:lineRule="auto"/>
      </w:pPr>
      <w:r>
        <w:rPr>
          <w:rFonts w:ascii="Calibri" w:hAnsi="Calibri" w:eastAsia="Calibri"/>
          <w:color w:val="1F2937"/>
          <w:sz w:val="22"/>
        </w:rPr>
        <w:t>A centralized, searchable, and controlled employee information repository with major 201-file records.</w:t>
      </w:r>
    </w:p>
    <w:p>
      <w:pPr>
        <w:numPr>
          <w:ilvl w:val="0"/>
          <w:numId w:val="90"/>
        </w:numPr>
        <w:spacing w:after="80" w:line="290" w:lineRule="auto"/>
      </w:pPr>
      <w:r>
        <w:rPr>
          <w:rFonts w:ascii="Calibri" w:hAnsi="Calibri" w:eastAsia="Calibri"/>
          <w:color w:val="1F2937"/>
          <w:sz w:val="22"/>
        </w:rPr>
        <w:t>Integrated Plantilla, personnel movement, service history, attendance, leave, and employee self-service workflows.</w:t>
      </w:r>
    </w:p>
    <w:p>
      <w:pPr>
        <w:numPr>
          <w:ilvl w:val="0"/>
          <w:numId w:val="90"/>
        </w:numPr>
        <w:spacing w:after="80" w:line="290" w:lineRule="auto"/>
      </w:pPr>
      <w:r>
        <w:rPr>
          <w:rFonts w:ascii="Calibri" w:hAnsi="Calibri" w:eastAsia="Calibri"/>
          <w:color w:val="1F2937"/>
          <w:sz w:val="22"/>
        </w:rPr>
        <w:t>Biometric-assisted DTR processing with exception handling, correction controls, locking, and audit records.</w:t>
      </w:r>
    </w:p>
    <w:p>
      <w:pPr>
        <w:numPr>
          <w:ilvl w:val="0"/>
          <w:numId w:val="90"/>
        </w:numPr>
        <w:spacing w:after="80" w:line="290" w:lineRule="auto"/>
      </w:pPr>
      <w:r>
        <w:rPr>
          <w:rFonts w:ascii="Calibri" w:hAnsi="Calibri" w:eastAsia="Calibri"/>
          <w:color w:val="1F2937"/>
          <w:sz w:val="22"/>
        </w:rPr>
        <w:t>Configurable roles and permissions, secure sessions, action logging, and controlled document generation.</w:t>
      </w:r>
    </w:p>
    <w:p>
      <w:pPr>
        <w:numPr>
          <w:ilvl w:val="0"/>
          <w:numId w:val="90"/>
        </w:numPr>
        <w:spacing w:after="80" w:line="290" w:lineRule="auto"/>
      </w:pPr>
      <w:r>
        <w:rPr>
          <w:rFonts w:ascii="Calibri" w:hAnsi="Calibri" w:eastAsia="Calibri"/>
          <w:color w:val="1F2937"/>
          <w:sz w:val="22"/>
        </w:rPr>
        <w:t>STRH-prioritized reports, official forms, migration controls, backup and recovery procedures, training, and technical documentation.</w:t>
      </w:r>
    </w:p>
    <w:p>
      <w:pPr>
        <w:numPr>
          <w:ilvl w:val="0"/>
          <w:numId w:val="90"/>
        </w:numPr>
        <w:spacing w:after="80" w:line="290" w:lineRule="auto"/>
      </w:pPr>
      <w:r>
        <w:rPr>
          <w:rFonts w:ascii="Calibri" w:hAnsi="Calibri" w:eastAsia="Calibri"/>
          <w:color w:val="1F2937"/>
          <w:sz w:val="22"/>
        </w:rPr>
        <w:t>A phased implementation with transparent status reporting and measurable acceptance gates.</w:t>
      </w:r>
    </w:p>
    <w:p>
      <w:pPr>
        <w:pStyle w:val="Heading2"/>
      </w:pPr>
      <w:r>
        <w:t>Recommended contracting principle</w:t>
      </w:r>
    </w:p>
    <w:tbl>
      <w:tblPr>
        <w:tblW w:type="dxa" w:w="9360"/>
        <w:jc w:val="left"/>
        <w:tblLayout w:type="fixed"/>
        <w:tblLook w:firstColumn="1" w:firstRow="1" w:lastColumn="0" w:lastRow="0" w:noHBand="0" w:noVBand="1" w:val="04A0"/>
        <w:tblInd w:w="120" w:type="dxa"/>
        <w:tblBorders>
          <w:top w:val="single" w:sz="6" w:space="0" w:color="C9D8EB"/>
          <w:left w:val="single" w:sz="6" w:space="0" w:color="C9D8EB"/>
          <w:bottom w:val="single" w:sz="6" w:space="0" w:color="C9D8EB"/>
          <w:right w:val="single" w:sz="6" w:space="0" w:color="C9D8EB"/>
          <w:insideH w:val="single" w:sz="6" w:space="0" w:color="C9D8EB"/>
          <w:insideV w:val="single" w:sz="6" w:space="0" w:color="C9D8EB"/>
        </w:tblBorders>
      </w:tblPr>
      <w:tblGrid>
        <w:gridCol w:w="9360"/>
      </w:tblGrid>
      <w:tr>
        <w:trPr>
          <w:cantSplit/>
        </w:trPr>
        <w:tc>
          <w:tcPr>
            <w:tcW w:type="dxa" w:w="9360"/>
            <w:tcMar>
              <w:top w:w="80" w:type="dxa"/>
              <w:start w:w="120" w:type="dxa"/>
              <w:bottom w:w="80" w:type="dxa"/>
              <w:end w:w="120" w:type="dxa"/>
            </w:tcMar>
            <w:vAlign w:val="center"/>
            <w:shd w:fill="FFF6D8" w:val="clear"/>
          </w:tcPr>
          <w:p>
            <w:pPr>
              <w:pStyle w:val="Callout"/>
            </w:pPr>
            <w:r>
              <w:rPr>
                <w:rFonts w:ascii="Calibri" w:hAnsi="Calibri" w:eastAsia="Calibri"/>
                <w:b/>
                <w:color w:val="1F4D78"/>
                <w:sz w:val="21"/>
              </w:rPr>
              <w:t xml:space="preserve">Truthful feature commitment: </w:t>
            </w:r>
            <w:r>
              <w:rPr>
                <w:rFonts w:ascii="Calibri" w:hAnsi="Calibri" w:eastAsia="Calibri"/>
                <w:color w:val="1F4D78"/>
                <w:sz w:val="21"/>
              </w:rPr>
              <w:t>A feature may be included even when it is not yet finished, provided it is expressly identified as an implementation deliverable, included in the price and schedule, supported by acceptance criteria, and not described as currently available.</w:t>
            </w:r>
          </w:p>
        </w:tc>
      </w:tr>
    </w:tbl>
    <w:p>
      <w:pPr>
        <w:spacing w:before="0" w:after="60"/>
      </w:pPr>
    </w:p>
    <w:p>
      <w:pPr>
        <w:pStyle w:val="Heading1"/>
      </w:pPr>
      <w:r>
        <w:t>2. Understanding of the Requirement</w:t>
      </w:r>
    </w:p>
    <w:p>
      <w:pPr>
        <w:spacing w:before="0" w:after="160"/>
      </w:pPr>
      <w:r>
        <w:rPr>
          <w:rFonts w:ascii="Calibri" w:hAnsi="Calibri" w:eastAsia="Calibri"/>
          <w:b w:val="0"/>
          <w:i w:val="0"/>
        </w:rPr>
        <w:t>STRH requires more than an employee database. The TOR describes an integrated institutional HR platform together with implementation services, biometric hardware and integration, data migration, quality assurance, training, documentation, support, security, backup, archiving, and recovery obligations. The proposal therefore treats operational readiness and adoption as contract deliverables alongside software features.</w:t>
      </w:r>
    </w:p>
    <w:p>
      <w:pPr>
        <w:pStyle w:val="Heading2"/>
      </w:pPr>
      <w:r>
        <w:t>Business objectives</w:t>
      </w:r>
    </w:p>
    <w:p>
      <w:pPr>
        <w:numPr>
          <w:ilvl w:val="0"/>
          <w:numId w:val="90"/>
        </w:numPr>
        <w:spacing w:after="80" w:line="290" w:lineRule="auto"/>
      </w:pPr>
      <w:r>
        <w:rPr>
          <w:rFonts w:ascii="Calibri" w:hAnsi="Calibri" w:eastAsia="Calibri"/>
          <w:color w:val="1F2937"/>
          <w:sz w:val="22"/>
        </w:rPr>
        <w:t>Replace fragmented and paper-heavy HR processes with a controlled digital system.</w:t>
      </w:r>
    </w:p>
    <w:p>
      <w:pPr>
        <w:numPr>
          <w:ilvl w:val="0"/>
          <w:numId w:val="90"/>
        </w:numPr>
        <w:spacing w:after="80" w:line="290" w:lineRule="auto"/>
      </w:pPr>
      <w:r>
        <w:rPr>
          <w:rFonts w:ascii="Calibri" w:hAnsi="Calibri" w:eastAsia="Calibri"/>
          <w:color w:val="1F2937"/>
          <w:sz w:val="22"/>
        </w:rPr>
        <w:t>Improve the completeness, accuracy, timeliness, and traceability of employee information.</w:t>
      </w:r>
    </w:p>
    <w:p>
      <w:pPr>
        <w:numPr>
          <w:ilvl w:val="0"/>
          <w:numId w:val="90"/>
        </w:numPr>
        <w:spacing w:after="80" w:line="290" w:lineRule="auto"/>
      </w:pPr>
      <w:r>
        <w:rPr>
          <w:rFonts w:ascii="Calibri" w:hAnsi="Calibri" w:eastAsia="Calibri"/>
          <w:color w:val="1F2937"/>
          <w:sz w:val="22"/>
        </w:rPr>
        <w:t>Support attendance, leave, personnel actions, reporting, employee services, and management decision-making.</w:t>
      </w:r>
    </w:p>
    <w:p>
      <w:pPr>
        <w:numPr>
          <w:ilvl w:val="0"/>
          <w:numId w:val="90"/>
        </w:numPr>
        <w:spacing w:after="80" w:line="290" w:lineRule="auto"/>
      </w:pPr>
      <w:r>
        <w:rPr>
          <w:rFonts w:ascii="Calibri" w:hAnsi="Calibri" w:eastAsia="Calibri"/>
          <w:color w:val="1F2937"/>
          <w:sz w:val="22"/>
        </w:rPr>
        <w:t>Align the system with applicable CSC, DBM, DOH, privacy, records-management, and institutional policies.</w:t>
      </w:r>
    </w:p>
    <w:p>
      <w:pPr>
        <w:numPr>
          <w:ilvl w:val="0"/>
          <w:numId w:val="90"/>
        </w:numPr>
        <w:spacing w:after="80" w:line="290" w:lineRule="auto"/>
      </w:pPr>
      <w:r>
        <w:rPr>
          <w:rFonts w:ascii="Calibri" w:hAnsi="Calibri" w:eastAsia="Calibri"/>
          <w:color w:val="1F2937"/>
          <w:sz w:val="22"/>
        </w:rPr>
        <w:t>Provide a maintainable solution that STRH administrators and IT personnel can operate and support.</w:t>
      </w:r>
    </w:p>
    <w:p>
      <w:pPr>
        <w:pStyle w:val="Heading2"/>
      </w:pPr>
      <w:r>
        <w:t>Scope interpretation requiring confirmation</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50"/>
        <w:gridCol w:w="6810"/>
      </w:tblGrid>
      <w:tr>
        <w:trPr>
          <w:cantSplit/>
          <w:tblHeader w:val="true"/>
        </w:trPr>
        <w:tc>
          <w:tcPr>
            <w:tcW w:type="dxa" w:w="2550"/>
            <w:tcMar>
              <w:top w:w="80" w:type="dxa"/>
              <w:start w:w="120" w:type="dxa"/>
              <w:bottom w:w="80" w:type="dxa"/>
              <w:end w:w="120" w:type="dxa"/>
            </w:tcMar>
            <w:vAlign w:val="center"/>
            <w:shd w:fill="F4F6F9" w:val="clear"/>
          </w:tcPr>
          <w:p>
            <w:pPr>
              <w:pStyle w:val="TableHeader"/>
              <w:jc w:val="left"/>
            </w:pPr>
            <w:r>
              <w:t>TOR matter</w:t>
            </w:r>
          </w:p>
        </w:tc>
        <w:tc>
          <w:tcPr>
            <w:tcW w:type="dxa" w:w="6810"/>
            <w:tcMar>
              <w:top w:w="80" w:type="dxa"/>
              <w:start w:w="120" w:type="dxa"/>
              <w:bottom w:w="80" w:type="dxa"/>
              <w:end w:w="120" w:type="dxa"/>
            </w:tcMar>
            <w:vAlign w:val="center"/>
            <w:shd w:fill="F4F6F9" w:val="clear"/>
          </w:tcPr>
          <w:p>
            <w:pPr>
              <w:pStyle w:val="TableHeader"/>
              <w:jc w:val="left"/>
            </w:pPr>
            <w:r>
              <w:t>Proposal treatment</w:t>
            </w:r>
          </w:p>
        </w:tc>
      </w:tr>
      <w:tr>
        <w:trPr>
          <w:cantSplit/>
        </w:trPr>
        <w:tc>
          <w:tcPr>
            <w:tcW w:type="dxa" w:w="2550"/>
            <w:tcMar>
              <w:top w:w="80" w:type="dxa"/>
              <w:start w:w="120" w:type="dxa"/>
              <w:bottom w:w="80" w:type="dxa"/>
              <w:end w:w="120" w:type="dxa"/>
            </w:tcMar>
            <w:vAlign w:val="center"/>
          </w:tcPr>
          <w:p>
            <w:pPr>
              <w:pStyle w:val="TableText"/>
              <w:jc w:val="left"/>
            </w:pPr>
            <w:r>
              <w:t>Payroll processing</w:t>
            </w:r>
          </w:p>
        </w:tc>
        <w:tc>
          <w:tcPr>
            <w:tcW w:type="dxa" w:w="6810"/>
            <w:tcMar>
              <w:top w:w="80" w:type="dxa"/>
              <w:start w:w="120" w:type="dxa"/>
              <w:bottom w:w="80" w:type="dxa"/>
              <w:end w:w="120" w:type="dxa"/>
            </w:tcMar>
            <w:vAlign w:val="center"/>
          </w:tcPr>
          <w:p>
            <w:pPr>
              <w:pStyle w:val="TableText"/>
              <w:jc w:val="left"/>
            </w:pPr>
            <w:r>
              <w:t>The TOR objective mentions payroll, while the detailed module list focuses on HR, attendance, leave, and payroll notifications. Full payroll computation and disbursement require clarification and separate acceptance rules.</w:t>
            </w:r>
          </w:p>
        </w:tc>
      </w:tr>
      <w:tr>
        <w:trPr>
          <w:cantSplit/>
        </w:trPr>
        <w:tc>
          <w:tcPr>
            <w:tcW w:type="dxa" w:w="2550"/>
            <w:tcMar>
              <w:top w:w="80" w:type="dxa"/>
              <w:start w:w="120" w:type="dxa"/>
              <w:bottom w:w="80" w:type="dxa"/>
              <w:end w:w="120" w:type="dxa"/>
            </w:tcMar>
            <w:vAlign w:val="center"/>
          </w:tcPr>
          <w:p>
            <w:pPr>
              <w:pStyle w:val="TableText"/>
              <w:jc w:val="left"/>
            </w:pPr>
            <w:r>
              <w:t>Recruitment</w:t>
            </w:r>
          </w:p>
        </w:tc>
        <w:tc>
          <w:tcPr>
            <w:tcW w:type="dxa" w:w="6810"/>
            <w:tcMar>
              <w:top w:w="80" w:type="dxa"/>
              <w:start w:w="120" w:type="dxa"/>
              <w:bottom w:w="80" w:type="dxa"/>
              <w:end w:w="120" w:type="dxa"/>
            </w:tcMar>
            <w:vAlign w:val="center"/>
          </w:tcPr>
          <w:p>
            <w:pPr>
              <w:pStyle w:val="TableText"/>
              <w:jc w:val="left"/>
            </w:pPr>
            <w:r>
              <w:t>Recruitment appears in objectives, forms, and statistics, but a complete applicant-tracking workflow is not fully specified. Confirm whether it is a base module or future phase.</w:t>
            </w:r>
          </w:p>
        </w:tc>
      </w:tr>
      <w:tr>
        <w:trPr>
          <w:cantSplit/>
        </w:trPr>
        <w:tc>
          <w:tcPr>
            <w:tcW w:type="dxa" w:w="2550"/>
            <w:tcMar>
              <w:top w:w="80" w:type="dxa"/>
              <w:start w:w="120" w:type="dxa"/>
              <w:bottom w:w="80" w:type="dxa"/>
              <w:end w:w="120" w:type="dxa"/>
            </w:tcMar>
            <w:vAlign w:val="center"/>
          </w:tcPr>
          <w:p>
            <w:pPr>
              <w:pStyle w:val="TableText"/>
              <w:jc w:val="left"/>
            </w:pPr>
            <w:r>
              <w:t>Technology framework</w:t>
            </w:r>
          </w:p>
        </w:tc>
        <w:tc>
          <w:tcPr>
            <w:tcW w:type="dxa" w:w="6810"/>
            <w:tcMar>
              <w:top w:w="80" w:type="dxa"/>
              <w:start w:w="120" w:type="dxa"/>
              <w:bottom w:w="80" w:type="dxa"/>
              <w:end w:w="120" w:type="dxa"/>
            </w:tcMar>
            <w:vAlign w:val="center"/>
          </w:tcPr>
          <w:p>
            <w:pPr>
              <w:pStyle w:val="TableText"/>
              <w:jc w:val="left"/>
            </w:pPr>
            <w:r>
              <w:t>The current solution uses React/TanStack/Vite, a Node.js API, and MySQL. Written acceptance of this JavaScript-based stack should be obtained where the TOR language is interpreted as requiring Laravel or .NET.</w:t>
            </w:r>
          </w:p>
        </w:tc>
      </w:tr>
      <w:tr>
        <w:trPr>
          <w:cantSplit/>
        </w:trPr>
        <w:tc>
          <w:tcPr>
            <w:tcW w:type="dxa" w:w="2550"/>
            <w:tcMar>
              <w:top w:w="80" w:type="dxa"/>
              <w:start w:w="120" w:type="dxa"/>
              <w:bottom w:w="80" w:type="dxa"/>
              <w:end w:w="120" w:type="dxa"/>
            </w:tcMar>
            <w:vAlign w:val="center"/>
          </w:tcPr>
          <w:p>
            <w:pPr>
              <w:pStyle w:val="TableText"/>
              <w:jc w:val="left"/>
            </w:pPr>
            <w:r>
              <w:t>Database compatibility</w:t>
            </w:r>
          </w:p>
        </w:tc>
        <w:tc>
          <w:tcPr>
            <w:tcW w:type="dxa" w:w="6810"/>
            <w:tcMar>
              <w:top w:w="80" w:type="dxa"/>
              <w:start w:w="120" w:type="dxa"/>
              <w:bottom w:w="80" w:type="dxa"/>
              <w:end w:w="120" w:type="dxa"/>
            </w:tcMar>
            <w:vAlign w:val="center"/>
          </w:tcPr>
          <w:p>
            <w:pPr>
              <w:pStyle w:val="TableText"/>
              <w:jc w:val="left"/>
            </w:pPr>
            <w:r>
              <w:t>The current implementation uses MySQL. The proposal does not claim Oracle, PostgreSQL, MSSQL, or DBF portability unless separately engineered and tested.</w:t>
            </w:r>
          </w:p>
        </w:tc>
      </w:tr>
      <w:tr>
        <w:trPr>
          <w:cantSplit/>
        </w:trPr>
        <w:tc>
          <w:tcPr>
            <w:tcW w:type="dxa" w:w="2550"/>
            <w:tcMar>
              <w:top w:w="80" w:type="dxa"/>
              <w:start w:w="120" w:type="dxa"/>
              <w:bottom w:w="80" w:type="dxa"/>
              <w:end w:w="120" w:type="dxa"/>
            </w:tcMar>
            <w:vAlign w:val="center"/>
          </w:tcPr>
          <w:p>
            <w:pPr>
              <w:pStyle w:val="TableText"/>
              <w:jc w:val="left"/>
            </w:pPr>
            <w:r>
              <w:t>Legacy browsers</w:t>
            </w:r>
          </w:p>
        </w:tc>
        <w:tc>
          <w:tcPr>
            <w:tcW w:type="dxa" w:w="6810"/>
            <w:tcMar>
              <w:top w:w="80" w:type="dxa"/>
              <w:start w:w="120" w:type="dxa"/>
              <w:bottom w:w="80" w:type="dxa"/>
              <w:end w:w="120" w:type="dxa"/>
            </w:tcMar>
            <w:vAlign w:val="center"/>
          </w:tcPr>
          <w:p>
            <w:pPr>
              <w:pStyle w:val="TableText"/>
              <w:jc w:val="left"/>
            </w:pPr>
            <w:r>
              <w:t>A modern browser support matrix is proposed. Internet Explorer and unspecified legacy-browser compatibility require a formal exception or a separately funded compatibility approach.</w:t>
            </w:r>
          </w:p>
        </w:tc>
      </w:tr>
      <w:tr>
        <w:trPr>
          <w:cantSplit/>
        </w:trPr>
        <w:tc>
          <w:tcPr>
            <w:tcW w:type="dxa" w:w="2550"/>
            <w:tcMar>
              <w:top w:w="80" w:type="dxa"/>
              <w:start w:w="120" w:type="dxa"/>
              <w:bottom w:w="80" w:type="dxa"/>
              <w:end w:w="120" w:type="dxa"/>
            </w:tcMar>
            <w:vAlign w:val="center"/>
          </w:tcPr>
          <w:p>
            <w:pPr>
              <w:pStyle w:val="TableText"/>
              <w:jc w:val="left"/>
            </w:pPr>
            <w:r>
              <w:t>Support term</w:t>
            </w:r>
          </w:p>
        </w:tc>
        <w:tc>
          <w:tcPr>
            <w:tcW w:type="dxa" w:w="6810"/>
            <w:tcMar>
              <w:top w:w="80" w:type="dxa"/>
              <w:start w:w="120" w:type="dxa"/>
              <w:bottom w:w="80" w:type="dxa"/>
              <w:end w:w="120" w:type="dxa"/>
            </w:tcMar>
            <w:vAlign w:val="center"/>
          </w:tcPr>
          <w:p>
            <w:pPr>
              <w:pStyle w:val="TableText"/>
              <w:jc w:val="left"/>
            </w:pPr>
            <w:r>
              <w:t>The TOR refers to both one-year maintenance and two-year proactive assistance. The final duration, inclusions, and pricing must be reconciled in the contract.</w:t>
            </w:r>
          </w:p>
        </w:tc>
      </w:tr>
    </w:tbl>
    <w:p>
      <w:pPr>
        <w:spacing w:before="0" w:after="40"/>
      </w:pPr>
    </w:p>
    <w:p>
      <w:pPr>
        <w:pStyle w:val="Heading1"/>
      </w:pPr>
      <w:r>
        <w:t>3. Proposed HRIS Scope</w:t>
      </w:r>
    </w:p>
    <w:p>
      <w:pPr>
        <w:spacing w:before="0" w:after="160"/>
      </w:pPr>
      <w:r>
        <w:rPr>
          <w:rFonts w:ascii="Calibri" w:hAnsi="Calibri" w:eastAsia="Calibri"/>
          <w:b w:val="0"/>
          <w:i w:val="0"/>
        </w:rPr>
        <w:t>The following scope is grouped by capability and proposal status. Available baseline functions remain subject to STRH configuration, official data validation, security review, and UAT. Items marked Included for completion are project commitments, not representations of current readiness.</w:t>
      </w:r>
    </w:p>
    <w:p>
      <w:pPr>
        <w:pStyle w:val="Heading2"/>
      </w:pPr>
      <w:r>
        <w:t>3.1 Employee Information and 201 Files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00"/>
        <w:gridCol w:w="1750"/>
        <w:gridCol w:w="4710"/>
      </w:tblGrid>
      <w:tr>
        <w:trPr>
          <w:cantSplit/>
          <w:tblHeader w:val="true"/>
        </w:trPr>
        <w:tc>
          <w:tcPr>
            <w:tcW w:type="dxa" w:w="2900"/>
            <w:tcMar>
              <w:top w:w="80" w:type="dxa"/>
              <w:start w:w="120" w:type="dxa"/>
              <w:bottom w:w="80" w:type="dxa"/>
              <w:end w:w="120" w:type="dxa"/>
            </w:tcMar>
            <w:vAlign w:val="center"/>
            <w:shd w:fill="F4F6F9" w:val="clear"/>
          </w:tcPr>
          <w:p>
            <w:pPr>
              <w:pStyle w:val="TableHeader"/>
              <w:jc w:val="left"/>
            </w:pPr>
            <w:r>
              <w:t>Capability</w:t>
            </w:r>
          </w:p>
        </w:tc>
        <w:tc>
          <w:tcPr>
            <w:tcW w:type="dxa" w:w="1750"/>
            <w:tcMar>
              <w:top w:w="80" w:type="dxa"/>
              <w:start w:w="120" w:type="dxa"/>
              <w:bottom w:w="80" w:type="dxa"/>
              <w:end w:w="120" w:type="dxa"/>
            </w:tcMar>
            <w:vAlign w:val="center"/>
            <w:shd w:fill="F4F6F9" w:val="clear"/>
          </w:tcPr>
          <w:p>
            <w:pPr>
              <w:pStyle w:val="TableHeader"/>
              <w:jc w:val="center"/>
            </w:pPr>
            <w:r>
              <w:t>Status</w:t>
            </w:r>
          </w:p>
        </w:tc>
        <w:tc>
          <w:tcPr>
            <w:tcW w:type="dxa" w:w="4710"/>
            <w:tcMar>
              <w:top w:w="80" w:type="dxa"/>
              <w:start w:w="120" w:type="dxa"/>
              <w:bottom w:w="80" w:type="dxa"/>
              <w:end w:w="120" w:type="dxa"/>
            </w:tcMar>
            <w:vAlign w:val="center"/>
            <w:shd w:fill="F4F6F9" w:val="clear"/>
          </w:tcPr>
          <w:p>
            <w:pPr>
              <w:pStyle w:val="TableHeader"/>
              <w:jc w:val="left"/>
            </w:pPr>
            <w:r>
              <w:t>Proposed delivery and acceptance</w:t>
            </w:r>
          </w:p>
        </w:tc>
      </w:tr>
      <w:tr>
        <w:trPr>
          <w:cantSplit/>
        </w:trPr>
        <w:tc>
          <w:tcPr>
            <w:tcW w:type="dxa" w:w="2900"/>
            <w:tcMar>
              <w:top w:w="80" w:type="dxa"/>
              <w:start w:w="120" w:type="dxa"/>
              <w:bottom w:w="80" w:type="dxa"/>
              <w:end w:w="120" w:type="dxa"/>
            </w:tcMar>
            <w:vAlign w:val="center"/>
          </w:tcPr>
          <w:p>
            <w:pPr>
              <w:pStyle w:val="TableText"/>
              <w:jc w:val="left"/>
            </w:pPr>
            <w:r>
              <w:t>Employee master list and profile</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Search, filter, create, update, archive/restore, and controlled profile access; validate with STRH master data and permission scenarios.</w:t>
            </w:r>
          </w:p>
        </w:tc>
      </w:tr>
      <w:tr>
        <w:trPr>
          <w:cantSplit/>
        </w:trPr>
        <w:tc>
          <w:tcPr>
            <w:tcW w:type="dxa" w:w="2900"/>
            <w:tcMar>
              <w:top w:w="80" w:type="dxa"/>
              <w:start w:w="120" w:type="dxa"/>
              <w:bottom w:w="80" w:type="dxa"/>
              <w:end w:w="120" w:type="dxa"/>
            </w:tcMar>
            <w:vAlign w:val="center"/>
          </w:tcPr>
          <w:p>
            <w:pPr>
              <w:pStyle w:val="TableText"/>
              <w:jc w:val="left"/>
            </w:pPr>
            <w:r>
              <w:t>Major 201-file sections</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Personal, family, education, eligibility, work, training, organization, salary, service, IPCR, and related records; complete official field mapping during validation.</w:t>
            </w:r>
          </w:p>
        </w:tc>
      </w:tr>
      <w:tr>
        <w:trPr>
          <w:cantSplit/>
        </w:trPr>
        <w:tc>
          <w:tcPr>
            <w:tcW w:type="dxa" w:w="2900"/>
            <w:tcMar>
              <w:top w:w="80" w:type="dxa"/>
              <w:start w:w="120" w:type="dxa"/>
              <w:bottom w:w="80" w:type="dxa"/>
              <w:end w:w="120" w:type="dxa"/>
            </w:tcMar>
            <w:vAlign w:val="center"/>
          </w:tcPr>
          <w:p>
            <w:pPr>
              <w:pStyle w:val="TableText"/>
              <w:jc w:val="left"/>
            </w:pPr>
            <w:r>
              <w:t>Reference libraries and organizational hierarchy</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Departments, positions, salary schedules, HR references, and hierarchy management; populate official STRH codes and effective dates.</w:t>
            </w:r>
          </w:p>
        </w:tc>
      </w:tr>
      <w:tr>
        <w:trPr>
          <w:cantSplit/>
        </w:trPr>
        <w:tc>
          <w:tcPr>
            <w:tcW w:type="dxa" w:w="2900"/>
            <w:tcMar>
              <w:top w:w="80" w:type="dxa"/>
              <w:start w:w="120" w:type="dxa"/>
              <w:bottom w:w="80" w:type="dxa"/>
              <w:end w:w="120" w:type="dxa"/>
            </w:tcMar>
            <w:vAlign w:val="center"/>
          </w:tcPr>
          <w:p>
            <w:pPr>
              <w:pStyle w:val="TableText"/>
              <w:jc w:val="left"/>
            </w:pPr>
            <w:r>
              <w:t>Official PDS and WES generation</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Existing export paths will be validated for official field coverage, overflow, continuation sheets, permissions, and representative render samples.</w:t>
            </w:r>
          </w:p>
        </w:tc>
      </w:tr>
      <w:tr>
        <w:trPr>
          <w:cantSplit/>
        </w:trPr>
        <w:tc>
          <w:tcPr>
            <w:tcW w:type="dxa" w:w="2900"/>
            <w:tcMar>
              <w:top w:w="80" w:type="dxa"/>
              <w:start w:w="120" w:type="dxa"/>
              <w:bottom w:w="80" w:type="dxa"/>
              <w:end w:w="120" w:type="dxa"/>
            </w:tcMar>
            <w:vAlign w:val="center"/>
          </w:tcPr>
          <w:p>
            <w:pPr>
              <w:pStyle w:val="TableText"/>
              <w:jc w:val="left"/>
            </w:pPr>
            <w:r>
              <w:t>Administrative and disciplinary cases</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Confidential case register, nature of case, sanction, dates, remarks, attachments, restricted permissions, audit events, and authorized reporting.</w:t>
            </w:r>
          </w:p>
        </w:tc>
      </w:tr>
      <w:tr>
        <w:trPr>
          <w:cantSplit/>
        </w:trPr>
        <w:tc>
          <w:tcPr>
            <w:tcW w:type="dxa" w:w="2900"/>
            <w:tcMar>
              <w:top w:w="80" w:type="dxa"/>
              <w:start w:w="120" w:type="dxa"/>
              <w:bottom w:w="80" w:type="dxa"/>
              <w:end w:w="120" w:type="dxa"/>
            </w:tcMar>
            <w:vAlign w:val="center"/>
          </w:tcPr>
          <w:p>
            <w:pPr>
              <w:pStyle w:val="TableText"/>
              <w:jc w:val="left"/>
            </w:pPr>
            <w:r>
              <w:t>Qualification standards and evaluation</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Define the STRH-approved qualification standard model and evaluation rules before implementation and UAT.</w:t>
            </w:r>
          </w:p>
        </w:tc>
      </w:tr>
    </w:tbl>
    <w:p>
      <w:pPr>
        <w:spacing w:before="0" w:after="40"/>
      </w:pPr>
    </w:p>
    <w:p>
      <w:pPr>
        <w:pStyle w:val="Heading2"/>
      </w:pPr>
      <w:r>
        <w:t>3.2 Plantilla, Personnel Movements, and Service Records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00"/>
        <w:gridCol w:w="1750"/>
        <w:gridCol w:w="4710"/>
      </w:tblGrid>
      <w:tr>
        <w:trPr>
          <w:cantSplit/>
          <w:tblHeader w:val="true"/>
        </w:trPr>
        <w:tc>
          <w:tcPr>
            <w:tcW w:type="dxa" w:w="2900"/>
            <w:tcMar>
              <w:top w:w="80" w:type="dxa"/>
              <w:start w:w="120" w:type="dxa"/>
              <w:bottom w:w="80" w:type="dxa"/>
              <w:end w:w="120" w:type="dxa"/>
            </w:tcMar>
            <w:vAlign w:val="center"/>
            <w:shd w:fill="F4F6F9" w:val="clear"/>
          </w:tcPr>
          <w:p>
            <w:pPr>
              <w:pStyle w:val="TableHeader"/>
              <w:jc w:val="left"/>
            </w:pPr>
            <w:r>
              <w:t>Capability</w:t>
            </w:r>
          </w:p>
        </w:tc>
        <w:tc>
          <w:tcPr>
            <w:tcW w:type="dxa" w:w="1750"/>
            <w:tcMar>
              <w:top w:w="80" w:type="dxa"/>
              <w:start w:w="120" w:type="dxa"/>
              <w:bottom w:w="80" w:type="dxa"/>
              <w:end w:w="120" w:type="dxa"/>
            </w:tcMar>
            <w:vAlign w:val="center"/>
            <w:shd w:fill="F4F6F9" w:val="clear"/>
          </w:tcPr>
          <w:p>
            <w:pPr>
              <w:pStyle w:val="TableHeader"/>
              <w:jc w:val="center"/>
            </w:pPr>
            <w:r>
              <w:t>Status</w:t>
            </w:r>
          </w:p>
        </w:tc>
        <w:tc>
          <w:tcPr>
            <w:tcW w:type="dxa" w:w="4710"/>
            <w:tcMar>
              <w:top w:w="80" w:type="dxa"/>
              <w:start w:w="120" w:type="dxa"/>
              <w:bottom w:w="80" w:type="dxa"/>
              <w:end w:w="120" w:type="dxa"/>
            </w:tcMar>
            <w:vAlign w:val="center"/>
            <w:shd w:fill="F4F6F9" w:val="clear"/>
          </w:tcPr>
          <w:p>
            <w:pPr>
              <w:pStyle w:val="TableHeader"/>
              <w:jc w:val="left"/>
            </w:pPr>
            <w:r>
              <w:t>Proposed delivery and acceptance</w:t>
            </w:r>
          </w:p>
        </w:tc>
      </w:tr>
      <w:tr>
        <w:trPr>
          <w:cantSplit/>
        </w:trPr>
        <w:tc>
          <w:tcPr>
            <w:tcW w:type="dxa" w:w="2900"/>
            <w:tcMar>
              <w:top w:w="80" w:type="dxa"/>
              <w:start w:w="120" w:type="dxa"/>
              <w:bottom w:w="80" w:type="dxa"/>
              <w:end w:w="120" w:type="dxa"/>
            </w:tcMar>
            <w:vAlign w:val="center"/>
          </w:tcPr>
          <w:p>
            <w:pPr>
              <w:pStyle w:val="TableText"/>
              <w:jc w:val="left"/>
            </w:pPr>
            <w:r>
              <w:t>Plantilla / PSIPOP management</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Authorized items, funding and salary references, occupancy, vacancy, lifecycle, history, and reconciliation; validate against STRH PSIPOP source.</w:t>
            </w:r>
          </w:p>
        </w:tc>
      </w:tr>
      <w:tr>
        <w:trPr>
          <w:cantSplit/>
        </w:trPr>
        <w:tc>
          <w:tcPr>
            <w:tcW w:type="dxa" w:w="2900"/>
            <w:tcMar>
              <w:top w:w="80" w:type="dxa"/>
              <w:start w:w="120" w:type="dxa"/>
              <w:bottom w:w="80" w:type="dxa"/>
              <w:end w:w="120" w:type="dxa"/>
            </w:tcMar>
            <w:vAlign w:val="center"/>
          </w:tcPr>
          <w:p>
            <w:pPr>
              <w:pStyle w:val="TableText"/>
              <w:jc w:val="left"/>
            </w:pPr>
            <w:r>
              <w:t>Personnel movement workflow</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Draft, submit, review, approve, post, reject, reverse, authority references, conflict controls, and event history; confirm action-specific rules.</w:t>
            </w:r>
          </w:p>
        </w:tc>
      </w:tr>
      <w:tr>
        <w:trPr>
          <w:cantSplit/>
        </w:trPr>
        <w:tc>
          <w:tcPr>
            <w:tcW w:type="dxa" w:w="2900"/>
            <w:tcMar>
              <w:top w:w="80" w:type="dxa"/>
              <w:start w:w="120" w:type="dxa"/>
              <w:bottom w:w="80" w:type="dxa"/>
              <w:end w:w="120" w:type="dxa"/>
            </w:tcMar>
            <w:vAlign w:val="center"/>
          </w:tcPr>
          <w:p>
            <w:pPr>
              <w:pStyle w:val="TableText"/>
              <w:jc w:val="left"/>
            </w:pPr>
            <w:r>
              <w:t>Appointment and personnel action coverage</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Supports major TOR action categories; action-specific mapping, documents, and separation-of-duties require STRH UAT.</w:t>
            </w:r>
          </w:p>
        </w:tc>
      </w:tr>
      <w:tr>
        <w:trPr>
          <w:cantSplit/>
        </w:trPr>
        <w:tc>
          <w:tcPr>
            <w:tcW w:type="dxa" w:w="2900"/>
            <w:tcMar>
              <w:top w:w="80" w:type="dxa"/>
              <w:start w:w="120" w:type="dxa"/>
              <w:bottom w:w="80" w:type="dxa"/>
              <w:end w:w="120" w:type="dxa"/>
            </w:tcMar>
            <w:vAlign w:val="center"/>
          </w:tcPr>
          <w:p>
            <w:pPr>
              <w:pStyle w:val="TableText"/>
              <w:jc w:val="left"/>
            </w:pPr>
            <w:r>
              <w:t>Service record generation</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Generated from posted movements and controlled legacy entries; official STRH template and signatory rules remain dependencies.</w:t>
            </w:r>
          </w:p>
        </w:tc>
      </w:tr>
      <w:tr>
        <w:trPr>
          <w:cantSplit/>
        </w:trPr>
        <w:tc>
          <w:tcPr>
            <w:tcW w:type="dxa" w:w="2900"/>
            <w:tcMar>
              <w:top w:w="80" w:type="dxa"/>
              <w:start w:w="120" w:type="dxa"/>
              <w:bottom w:w="80" w:type="dxa"/>
              <w:end w:w="120" w:type="dxa"/>
            </w:tcMar>
            <w:vAlign w:val="center"/>
          </w:tcPr>
          <w:p>
            <w:pPr>
              <w:pStyle w:val="TableText"/>
              <w:jc w:val="left"/>
            </w:pPr>
            <w:r>
              <w:t>Secure supporting documents</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Controlled attachment storage, file validation, access authorization, retention, and audit trail for movements and personnel records.</w:t>
            </w:r>
          </w:p>
        </w:tc>
      </w:tr>
      <w:tr>
        <w:trPr>
          <w:cantSplit/>
        </w:trPr>
        <w:tc>
          <w:tcPr>
            <w:tcW w:type="dxa" w:w="2900"/>
            <w:tcMar>
              <w:top w:w="80" w:type="dxa"/>
              <w:start w:w="120" w:type="dxa"/>
              <w:bottom w:w="80" w:type="dxa"/>
              <w:end w:w="120" w:type="dxa"/>
            </w:tcMar>
            <w:vAlign w:val="center"/>
          </w:tcPr>
          <w:p>
            <w:pPr>
              <w:pStyle w:val="TableText"/>
              <w:jc w:val="left"/>
            </w:pPr>
            <w:r>
              <w:t>Payroll effect notification</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Notify designated payroll recipients for approved salary, step, loyalty, or related actions, with acknowledgement tracking.</w:t>
            </w:r>
          </w:p>
        </w:tc>
      </w:tr>
    </w:tbl>
    <w:p>
      <w:pPr>
        <w:spacing w:before="0" w:after="40"/>
      </w:pPr>
    </w:p>
    <w:p>
      <w:pPr>
        <w:pStyle w:val="Heading2"/>
      </w:pPr>
      <w:r>
        <w:t>3.3 Attendance, DTR, and Biometric Integration</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00"/>
        <w:gridCol w:w="1750"/>
        <w:gridCol w:w="4710"/>
      </w:tblGrid>
      <w:tr>
        <w:trPr>
          <w:cantSplit/>
          <w:tblHeader w:val="true"/>
        </w:trPr>
        <w:tc>
          <w:tcPr>
            <w:tcW w:type="dxa" w:w="2900"/>
            <w:tcMar>
              <w:top w:w="80" w:type="dxa"/>
              <w:start w:w="120" w:type="dxa"/>
              <w:bottom w:w="80" w:type="dxa"/>
              <w:end w:w="120" w:type="dxa"/>
            </w:tcMar>
            <w:vAlign w:val="center"/>
            <w:shd w:fill="F4F6F9" w:val="clear"/>
          </w:tcPr>
          <w:p>
            <w:pPr>
              <w:pStyle w:val="TableHeader"/>
              <w:jc w:val="left"/>
            </w:pPr>
            <w:r>
              <w:t>Capability</w:t>
            </w:r>
          </w:p>
        </w:tc>
        <w:tc>
          <w:tcPr>
            <w:tcW w:type="dxa" w:w="1750"/>
            <w:tcMar>
              <w:top w:w="80" w:type="dxa"/>
              <w:start w:w="120" w:type="dxa"/>
              <w:bottom w:w="80" w:type="dxa"/>
              <w:end w:w="120" w:type="dxa"/>
            </w:tcMar>
            <w:vAlign w:val="center"/>
            <w:shd w:fill="F4F6F9" w:val="clear"/>
          </w:tcPr>
          <w:p>
            <w:pPr>
              <w:pStyle w:val="TableHeader"/>
              <w:jc w:val="center"/>
            </w:pPr>
            <w:r>
              <w:t>Status</w:t>
            </w:r>
          </w:p>
        </w:tc>
        <w:tc>
          <w:tcPr>
            <w:tcW w:type="dxa" w:w="4710"/>
            <w:tcMar>
              <w:top w:w="80" w:type="dxa"/>
              <w:start w:w="120" w:type="dxa"/>
              <w:bottom w:w="80" w:type="dxa"/>
              <w:end w:w="120" w:type="dxa"/>
            </w:tcMar>
            <w:vAlign w:val="center"/>
            <w:shd w:fill="F4F6F9" w:val="clear"/>
          </w:tcPr>
          <w:p>
            <w:pPr>
              <w:pStyle w:val="TableHeader"/>
              <w:jc w:val="left"/>
            </w:pPr>
            <w:r>
              <w:t>Proposed delivery and acceptance</w:t>
            </w:r>
          </w:p>
        </w:tc>
      </w:tr>
      <w:tr>
        <w:trPr>
          <w:cantSplit/>
        </w:trPr>
        <w:tc>
          <w:tcPr>
            <w:tcW w:type="dxa" w:w="2900"/>
            <w:tcMar>
              <w:top w:w="80" w:type="dxa"/>
              <w:start w:w="120" w:type="dxa"/>
              <w:bottom w:w="80" w:type="dxa"/>
              <w:end w:w="120" w:type="dxa"/>
            </w:tcMar>
            <w:vAlign w:val="center"/>
          </w:tcPr>
          <w:p>
            <w:pPr>
              <w:pStyle w:val="TableText"/>
              <w:jc w:val="left"/>
            </w:pPr>
            <w:r>
              <w:t>Attendance imports and DTR processing</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Import, refresh, DTR calculation, manual entries, Excel/PDF output, and bounded date processing; validate schedules, holidays, rest days, overnight duty, and time zone.</w:t>
            </w:r>
          </w:p>
        </w:tc>
      </w:tr>
      <w:tr>
        <w:trPr>
          <w:cantSplit/>
        </w:trPr>
        <w:tc>
          <w:tcPr>
            <w:tcW w:type="dxa" w:w="2900"/>
            <w:tcMar>
              <w:top w:w="80" w:type="dxa"/>
              <w:start w:w="120" w:type="dxa"/>
              <w:bottom w:w="80" w:type="dxa"/>
              <w:end w:w="120" w:type="dxa"/>
            </w:tcMar>
            <w:vAlign w:val="center"/>
          </w:tcPr>
          <w:p>
            <w:pPr>
              <w:pStyle w:val="TableText"/>
              <w:jc w:val="left"/>
            </w:pPr>
            <w:r>
              <w:t>Manual corrections and field locking</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Employee requests, approval/reversal, per-time-slot locks, immutable events, and audit records; validate concurrent edits and biometric refresh.</w:t>
            </w:r>
          </w:p>
        </w:tc>
      </w:tr>
      <w:tr>
        <w:trPr>
          <w:cantSplit/>
        </w:trPr>
        <w:tc>
          <w:tcPr>
            <w:tcW w:type="dxa" w:w="2900"/>
            <w:tcMar>
              <w:top w:w="80" w:type="dxa"/>
              <w:start w:w="120" w:type="dxa"/>
              <w:bottom w:w="80" w:type="dxa"/>
              <w:end w:w="120" w:type="dxa"/>
            </w:tcMar>
            <w:vAlign w:val="center"/>
          </w:tcPr>
          <w:p>
            <w:pPr>
              <w:pStyle w:val="TableText"/>
              <w:jc w:val="left"/>
            </w:pPr>
            <w:r>
              <w:t>Schedules and date-specific overrides</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Shift templates, assignments, bulk scheduling, and exceptions; validate hospital schedule patterns and alternative work arrangements.</w:t>
            </w:r>
          </w:p>
        </w:tc>
      </w:tr>
      <w:tr>
        <w:trPr>
          <w:cantSplit/>
        </w:trPr>
        <w:tc>
          <w:tcPr>
            <w:tcW w:type="dxa" w:w="2900"/>
            <w:tcMar>
              <w:top w:w="80" w:type="dxa"/>
              <w:start w:w="120" w:type="dxa"/>
              <w:bottom w:w="80" w:type="dxa"/>
              <w:end w:w="120" w:type="dxa"/>
            </w:tcMar>
            <w:vAlign w:val="center"/>
          </w:tcPr>
          <w:p>
            <w:pPr>
              <w:pStyle w:val="TableText"/>
              <w:jc w:val="left"/>
            </w:pPr>
            <w:r>
              <w:t>Biometric devices and ADMS</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Device configuration, connectivity, ADMS endpoints, synchronization, real-time status/logs, mapping exceptions, and retry; actual device UAT is an STRH dependency.</w:t>
            </w:r>
          </w:p>
        </w:tc>
      </w:tr>
      <w:tr>
        <w:trPr>
          <w:cantSplit/>
        </w:trPr>
        <w:tc>
          <w:tcPr>
            <w:tcW w:type="dxa" w:w="2900"/>
            <w:tcMar>
              <w:top w:w="80" w:type="dxa"/>
              <w:start w:w="120" w:type="dxa"/>
              <w:bottom w:w="80" w:type="dxa"/>
              <w:end w:w="120" w:type="dxa"/>
            </w:tcMar>
            <w:vAlign w:val="center"/>
          </w:tcPr>
          <w:p>
            <w:pPr>
              <w:pStyle w:val="TableText"/>
              <w:jc w:val="left"/>
            </w:pPr>
            <w:r>
              <w:t>Online alternative attendance</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Implement only after STRH approves the eligible work arrangements, authentication, geolocation/device controls, and approval policy.</w:t>
            </w:r>
          </w:p>
        </w:tc>
      </w:tr>
      <w:tr>
        <w:trPr>
          <w:cantSplit/>
        </w:trPr>
        <w:tc>
          <w:tcPr>
            <w:tcW w:type="dxa" w:w="2900"/>
            <w:tcMar>
              <w:top w:w="80" w:type="dxa"/>
              <w:start w:w="120" w:type="dxa"/>
              <w:bottom w:w="80" w:type="dxa"/>
              <w:end w:w="120" w:type="dxa"/>
            </w:tcMar>
            <w:vAlign w:val="center"/>
          </w:tcPr>
          <w:p>
            <w:pPr>
              <w:pStyle w:val="TableText"/>
              <w:jc w:val="left"/>
            </w:pPr>
            <w:r>
              <w:t>Travel, OB, overtime, offsetting, and CTO codes</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Create configurable activity-code and workflow rules with schedule, pay, DTR, approval, and reporting effects.</w:t>
            </w:r>
          </w:p>
        </w:tc>
      </w:tr>
    </w:tbl>
    <w:p>
      <w:pPr>
        <w:spacing w:before="0" w:after="40"/>
      </w:pPr>
    </w:p>
    <w:p>
      <w:pPr>
        <w:pStyle w:val="Heading2"/>
      </w:pPr>
      <w:r>
        <w:t>3.4 Leave Management</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00"/>
        <w:gridCol w:w="1750"/>
        <w:gridCol w:w="4710"/>
      </w:tblGrid>
      <w:tr>
        <w:trPr>
          <w:cantSplit/>
          <w:tblHeader w:val="true"/>
        </w:trPr>
        <w:tc>
          <w:tcPr>
            <w:tcW w:type="dxa" w:w="2900"/>
            <w:tcMar>
              <w:top w:w="80" w:type="dxa"/>
              <w:start w:w="120" w:type="dxa"/>
              <w:bottom w:w="80" w:type="dxa"/>
              <w:end w:w="120" w:type="dxa"/>
            </w:tcMar>
            <w:vAlign w:val="center"/>
            <w:shd w:fill="F4F6F9" w:val="clear"/>
          </w:tcPr>
          <w:p>
            <w:pPr>
              <w:pStyle w:val="TableHeader"/>
              <w:jc w:val="left"/>
            </w:pPr>
            <w:r>
              <w:t>Capability</w:t>
            </w:r>
          </w:p>
        </w:tc>
        <w:tc>
          <w:tcPr>
            <w:tcW w:type="dxa" w:w="1750"/>
            <w:tcMar>
              <w:top w:w="80" w:type="dxa"/>
              <w:start w:w="120" w:type="dxa"/>
              <w:bottom w:w="80" w:type="dxa"/>
              <w:end w:w="120" w:type="dxa"/>
            </w:tcMar>
            <w:vAlign w:val="center"/>
            <w:shd w:fill="F4F6F9" w:val="clear"/>
          </w:tcPr>
          <w:p>
            <w:pPr>
              <w:pStyle w:val="TableHeader"/>
              <w:jc w:val="center"/>
            </w:pPr>
            <w:r>
              <w:t>Status</w:t>
            </w:r>
          </w:p>
        </w:tc>
        <w:tc>
          <w:tcPr>
            <w:tcW w:type="dxa" w:w="4710"/>
            <w:tcMar>
              <w:top w:w="80" w:type="dxa"/>
              <w:start w:w="120" w:type="dxa"/>
              <w:bottom w:w="80" w:type="dxa"/>
              <w:end w:w="120" w:type="dxa"/>
            </w:tcMar>
            <w:vAlign w:val="center"/>
            <w:shd w:fill="F4F6F9" w:val="clear"/>
          </w:tcPr>
          <w:p>
            <w:pPr>
              <w:pStyle w:val="TableHeader"/>
              <w:jc w:val="left"/>
            </w:pPr>
            <w:r>
              <w:t>Proposed delivery and acceptance</w:t>
            </w:r>
          </w:p>
        </w:tc>
      </w:tr>
      <w:tr>
        <w:trPr>
          <w:cantSplit/>
        </w:trPr>
        <w:tc>
          <w:tcPr>
            <w:tcW w:type="dxa" w:w="2900"/>
            <w:tcMar>
              <w:top w:w="80" w:type="dxa"/>
              <w:start w:w="120" w:type="dxa"/>
              <w:bottom w:w="80" w:type="dxa"/>
              <w:end w:w="120" w:type="dxa"/>
            </w:tcMar>
            <w:vAlign w:val="center"/>
          </w:tcPr>
          <w:p>
            <w:pPr>
              <w:pStyle w:val="TableText"/>
              <w:jc w:val="left"/>
            </w:pPr>
            <w:r>
              <w:t>Leave types, filing, balances, and ledger</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Configurable leave metadata, applications, balance checks, approval deduction, adjustments, ledger, and reversal; validate with official HR leave cards.</w:t>
            </w:r>
          </w:p>
        </w:tc>
      </w:tr>
      <w:tr>
        <w:trPr>
          <w:cantSplit/>
        </w:trPr>
        <w:tc>
          <w:tcPr>
            <w:tcW w:type="dxa" w:w="2900"/>
            <w:tcMar>
              <w:top w:w="80" w:type="dxa"/>
              <w:start w:w="120" w:type="dxa"/>
              <w:bottom w:w="80" w:type="dxa"/>
              <w:end w:w="120" w:type="dxa"/>
            </w:tcMar>
            <w:vAlign w:val="center"/>
          </w:tcPr>
          <w:p>
            <w:pPr>
              <w:pStyle w:val="TableText"/>
              <w:jc w:val="left"/>
            </w:pPr>
            <w:r>
              <w:t>Form 6 generation</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Excel/PDF generation with STRH-approved signatories, field mapping, dependencies, and representative samples.</w:t>
            </w:r>
          </w:p>
        </w:tc>
      </w:tr>
      <w:tr>
        <w:trPr>
          <w:cantSplit/>
        </w:trPr>
        <w:tc>
          <w:tcPr>
            <w:tcW w:type="dxa" w:w="2900"/>
            <w:tcMar>
              <w:top w:w="80" w:type="dxa"/>
              <w:start w:w="120" w:type="dxa"/>
              <w:bottom w:w="80" w:type="dxa"/>
              <w:end w:w="120" w:type="dxa"/>
            </w:tcMar>
            <w:vAlign w:val="center"/>
          </w:tcPr>
          <w:p>
            <w:pPr>
              <w:pStyle w:val="TableText"/>
              <w:jc w:val="left"/>
            </w:pPr>
            <w:r>
              <w:t>Multi-level recommendation, certification, and final action</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Configurable routing, independent credit certification, immediate-superior action, delegation, signatories, separation of duties, and complete event history.</w:t>
            </w:r>
          </w:p>
        </w:tc>
      </w:tr>
      <w:tr>
        <w:trPr>
          <w:cantSplit/>
        </w:trPr>
        <w:tc>
          <w:tcPr>
            <w:tcW w:type="dxa" w:w="2900"/>
            <w:tcMar>
              <w:top w:w="80" w:type="dxa"/>
              <w:start w:w="120" w:type="dxa"/>
              <w:bottom w:w="80" w:type="dxa"/>
              <w:end w:w="120" w:type="dxa"/>
            </w:tcMar>
            <w:vAlign w:val="center"/>
          </w:tcPr>
          <w:p>
            <w:pPr>
              <w:pStyle w:val="TableText"/>
              <w:jc w:val="left"/>
            </w:pPr>
            <w:r>
              <w:t>Automatic leave-credit accrual</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Effective-dated policy engine with preview, validation, idempotent posting, ledger reconciliation, approval, and rerun protection.</w:t>
            </w:r>
          </w:p>
        </w:tc>
      </w:tr>
      <w:tr>
        <w:trPr>
          <w:cantSplit/>
        </w:trPr>
        <w:tc>
          <w:tcPr>
            <w:tcW w:type="dxa" w:w="2900"/>
            <w:tcMar>
              <w:top w:w="80" w:type="dxa"/>
              <w:start w:w="120" w:type="dxa"/>
              <w:bottom w:w="80" w:type="dxa"/>
              <w:end w:w="120" w:type="dxa"/>
            </w:tcMar>
            <w:vAlign w:val="center"/>
          </w:tcPr>
          <w:p>
            <w:pPr>
              <w:pStyle w:val="TableText"/>
              <w:jc w:val="left"/>
            </w:pPr>
            <w:r>
              <w:t>Low-balance and payroll-risk warnings</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Configurable thresholds, recipients, deduplication, acknowledgement, and reports.</w:t>
            </w:r>
          </w:p>
        </w:tc>
      </w:tr>
      <w:tr>
        <w:trPr>
          <w:cantSplit/>
        </w:trPr>
        <w:tc>
          <w:tcPr>
            <w:tcW w:type="dxa" w:w="2900"/>
            <w:tcMar>
              <w:top w:w="80" w:type="dxa"/>
              <w:start w:w="120" w:type="dxa"/>
              <w:bottom w:w="80" w:type="dxa"/>
              <w:end w:w="120" w:type="dxa"/>
            </w:tcMar>
            <w:vAlign w:val="center"/>
          </w:tcPr>
          <w:p>
            <w:pPr>
              <w:pStyle w:val="TableText"/>
              <w:jc w:val="left"/>
            </w:pPr>
            <w:r>
              <w:t>Offline leave capture</w:t>
            </w:r>
          </w:p>
        </w:tc>
        <w:tc>
          <w:tcPr>
            <w:tcW w:type="dxa" w:w="1750"/>
            <w:tcMar>
              <w:top w:w="80" w:type="dxa"/>
              <w:start w:w="120" w:type="dxa"/>
              <w:bottom w:w="80" w:type="dxa"/>
              <w:end w:w="120" w:type="dxa"/>
            </w:tcMar>
            <w:vAlign w:val="center"/>
            <w:shd w:fill="FFF6D8" w:val="clear"/>
          </w:tcPr>
          <w:p>
            <w:pPr>
              <w:pStyle w:val="TableText"/>
              <w:jc w:val="center"/>
            </w:pPr>
            <w:r>
              <w:t>STRH dependency</w:t>
            </w:r>
          </w:p>
        </w:tc>
        <w:tc>
          <w:tcPr>
            <w:tcW w:type="dxa" w:w="4710"/>
            <w:tcMar>
              <w:top w:w="80" w:type="dxa"/>
              <w:start w:w="120" w:type="dxa"/>
              <w:bottom w:w="80" w:type="dxa"/>
              <w:end w:w="120" w:type="dxa"/>
            </w:tcMar>
            <w:vAlign w:val="center"/>
          </w:tcPr>
          <w:p>
            <w:pPr>
              <w:pStyle w:val="TableText"/>
              <w:jc w:val="left"/>
            </w:pPr>
            <w:r>
              <w:t>Confirm whether authorized HR encoding of signed applications satisfies the requirement or whether document capture and source tracking are required.</w:t>
            </w:r>
          </w:p>
        </w:tc>
      </w:tr>
    </w:tbl>
    <w:p>
      <w:pPr>
        <w:spacing w:before="0" w:after="40"/>
      </w:pPr>
    </w:p>
    <w:p>
      <w:pPr>
        <w:pStyle w:val="Heading2"/>
      </w:pPr>
      <w:r>
        <w:t>3.5 Employee Self-Service and Portal</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00"/>
        <w:gridCol w:w="1750"/>
        <w:gridCol w:w="4710"/>
      </w:tblGrid>
      <w:tr>
        <w:trPr>
          <w:cantSplit/>
          <w:tblHeader w:val="true"/>
        </w:trPr>
        <w:tc>
          <w:tcPr>
            <w:tcW w:type="dxa" w:w="2900"/>
            <w:tcMar>
              <w:top w:w="80" w:type="dxa"/>
              <w:start w:w="120" w:type="dxa"/>
              <w:bottom w:w="80" w:type="dxa"/>
              <w:end w:w="120" w:type="dxa"/>
            </w:tcMar>
            <w:vAlign w:val="center"/>
            <w:shd w:fill="F4F6F9" w:val="clear"/>
          </w:tcPr>
          <w:p>
            <w:pPr>
              <w:pStyle w:val="TableHeader"/>
              <w:jc w:val="left"/>
            </w:pPr>
            <w:r>
              <w:t>Capability</w:t>
            </w:r>
          </w:p>
        </w:tc>
        <w:tc>
          <w:tcPr>
            <w:tcW w:type="dxa" w:w="1750"/>
            <w:tcMar>
              <w:top w:w="80" w:type="dxa"/>
              <w:start w:w="120" w:type="dxa"/>
              <w:bottom w:w="80" w:type="dxa"/>
              <w:end w:w="120" w:type="dxa"/>
            </w:tcMar>
            <w:vAlign w:val="center"/>
            <w:shd w:fill="F4F6F9" w:val="clear"/>
          </w:tcPr>
          <w:p>
            <w:pPr>
              <w:pStyle w:val="TableHeader"/>
              <w:jc w:val="center"/>
            </w:pPr>
            <w:r>
              <w:t>Status</w:t>
            </w:r>
          </w:p>
        </w:tc>
        <w:tc>
          <w:tcPr>
            <w:tcW w:type="dxa" w:w="4710"/>
            <w:tcMar>
              <w:top w:w="80" w:type="dxa"/>
              <w:start w:w="120" w:type="dxa"/>
              <w:bottom w:w="80" w:type="dxa"/>
              <w:end w:w="120" w:type="dxa"/>
            </w:tcMar>
            <w:vAlign w:val="center"/>
            <w:shd w:fill="F4F6F9" w:val="clear"/>
          </w:tcPr>
          <w:p>
            <w:pPr>
              <w:pStyle w:val="TableHeader"/>
              <w:jc w:val="left"/>
            </w:pPr>
            <w:r>
              <w:t>Proposed delivery and acceptance</w:t>
            </w:r>
          </w:p>
        </w:tc>
      </w:tr>
      <w:tr>
        <w:trPr>
          <w:cantSplit/>
        </w:trPr>
        <w:tc>
          <w:tcPr>
            <w:tcW w:type="dxa" w:w="2900"/>
            <w:tcMar>
              <w:top w:w="80" w:type="dxa"/>
              <w:start w:w="120" w:type="dxa"/>
              <w:bottom w:w="80" w:type="dxa"/>
              <w:end w:w="120" w:type="dxa"/>
            </w:tcMar>
            <w:vAlign w:val="center"/>
          </w:tcPr>
          <w:p>
            <w:pPr>
              <w:pStyle w:val="TableText"/>
              <w:jc w:val="left"/>
            </w:pPr>
            <w:r>
              <w:t>Employee login and own-record access</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Linked employee accounts, profile access, leave filing/history, attendance, DTR corrections, requests, and PDS generation; validate privacy boundaries.</w:t>
            </w:r>
          </w:p>
        </w:tc>
      </w:tr>
      <w:tr>
        <w:trPr>
          <w:cantSplit/>
        </w:trPr>
        <w:tc>
          <w:tcPr>
            <w:tcW w:type="dxa" w:w="2900"/>
            <w:tcMar>
              <w:top w:w="80" w:type="dxa"/>
              <w:start w:w="120" w:type="dxa"/>
              <w:bottom w:w="80" w:type="dxa"/>
              <w:end w:w="120" w:type="dxa"/>
            </w:tcMar>
            <w:vAlign w:val="center"/>
          </w:tcPr>
          <w:p>
            <w:pPr>
              <w:pStyle w:val="TableText"/>
              <w:jc w:val="left"/>
            </w:pPr>
            <w:r>
              <w:t>Personal-data maintenance</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Approved personal/contact and designated self-service sections only; HR-controlled employment and salary data remain governed.</w:t>
            </w:r>
          </w:p>
        </w:tc>
      </w:tr>
      <w:tr>
        <w:trPr>
          <w:cantSplit/>
        </w:trPr>
        <w:tc>
          <w:tcPr>
            <w:tcW w:type="dxa" w:w="2900"/>
            <w:tcMar>
              <w:top w:w="80" w:type="dxa"/>
              <w:start w:w="120" w:type="dxa"/>
              <w:bottom w:w="80" w:type="dxa"/>
              <w:end w:w="120" w:type="dxa"/>
            </w:tcMar>
            <w:vAlign w:val="center"/>
          </w:tcPr>
          <w:p>
            <w:pPr>
              <w:pStyle w:val="TableText"/>
              <w:jc w:val="left"/>
            </w:pPr>
            <w:r>
              <w:t>Overtime, CTO, OB, certificate, and schedule-change requests</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Replace current placeholders with routed, auditable workflows, attachments where approved, employee actions, notifications, and unified request history.</w:t>
            </w:r>
          </w:p>
        </w:tc>
      </w:tr>
      <w:tr>
        <w:trPr>
          <w:cantSplit/>
        </w:trPr>
        <w:tc>
          <w:tcPr>
            <w:tcW w:type="dxa" w:w="2900"/>
            <w:tcMar>
              <w:top w:w="80" w:type="dxa"/>
              <w:start w:w="120" w:type="dxa"/>
              <w:bottom w:w="80" w:type="dxa"/>
              <w:end w:w="120" w:type="dxa"/>
            </w:tcMar>
            <w:vAlign w:val="center"/>
          </w:tcPr>
          <w:p>
            <w:pPr>
              <w:pStyle w:val="TableText"/>
              <w:jc w:val="left"/>
            </w:pPr>
            <w:r>
              <w:t>Announcements, policies, and news</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Authorized publishing, effective dates, visibility groups, attachments, expiration, and audit controls.</w:t>
            </w:r>
          </w:p>
        </w:tc>
      </w:tr>
      <w:tr>
        <w:trPr>
          <w:cantSplit/>
        </w:trPr>
        <w:tc>
          <w:tcPr>
            <w:tcW w:type="dxa" w:w="2900"/>
            <w:tcMar>
              <w:top w:w="80" w:type="dxa"/>
              <w:start w:w="120" w:type="dxa"/>
              <w:bottom w:w="80" w:type="dxa"/>
              <w:end w:w="120" w:type="dxa"/>
            </w:tcMar>
            <w:vAlign w:val="center"/>
          </w:tcPr>
          <w:p>
            <w:pPr>
              <w:pStyle w:val="TableText"/>
              <w:jc w:val="left"/>
            </w:pPr>
            <w:r>
              <w:t>Official email notifications</w:t>
            </w:r>
          </w:p>
        </w:tc>
        <w:tc>
          <w:tcPr>
            <w:tcW w:type="dxa" w:w="1750"/>
            <w:tcMar>
              <w:top w:w="80" w:type="dxa"/>
              <w:start w:w="120" w:type="dxa"/>
              <w:bottom w:w="80" w:type="dxa"/>
              <w:end w:w="120" w:type="dxa"/>
            </w:tcMar>
            <w:vAlign w:val="center"/>
            <w:shd w:fill="FFF6D8" w:val="clear"/>
          </w:tcPr>
          <w:p>
            <w:pPr>
              <w:pStyle w:val="TableText"/>
              <w:jc w:val="center"/>
            </w:pPr>
            <w:r>
              <w:t>STRH dependency</w:t>
            </w:r>
          </w:p>
        </w:tc>
        <w:tc>
          <w:tcPr>
            <w:tcW w:type="dxa" w:w="4710"/>
            <w:tcMar>
              <w:top w:w="80" w:type="dxa"/>
              <w:start w:w="120" w:type="dxa"/>
              <w:bottom w:w="80" w:type="dxa"/>
              <w:end w:w="120" w:type="dxa"/>
            </w:tcMar>
            <w:vAlign w:val="center"/>
          </w:tcPr>
          <w:p>
            <w:pPr>
              <w:pStyle w:val="TableText"/>
              <w:jc w:val="left"/>
            </w:pPr>
            <w:r>
              <w:t>Requires approved mail service, sender domain, credentials, network access, templates, and recipient rules.</w:t>
            </w:r>
          </w:p>
        </w:tc>
      </w:tr>
    </w:tbl>
    <w:p>
      <w:pPr>
        <w:spacing w:before="0" w:after="40"/>
      </w:pPr>
    </w:p>
    <w:p>
      <w:pPr>
        <w:pStyle w:val="Heading2"/>
      </w:pPr>
      <w:r>
        <w:t>3.6 Reports, Analytics, and Forms</w:t>
      </w:r>
    </w:p>
    <w:p>
      <w:pPr>
        <w:spacing w:before="0" w:after="160"/>
      </w:pPr>
      <w:r>
        <w:rPr>
          <w:rFonts w:ascii="Calibri" w:hAnsi="Calibri" w:eastAsia="Calibri"/>
          <w:b w:val="0"/>
          <w:i w:val="0"/>
        </w:rPr>
        <w:t>The current baseline includes dashboard analytics and a personnel/Plantilla report family. The project will prioritize reports through an approved catalog rather than claiming that every listed report already exists.</w:t>
      </w:r>
    </w:p>
    <w:p>
      <w:pPr>
        <w:numPr>
          <w:ilvl w:val="0"/>
          <w:numId w:val="90"/>
        </w:numPr>
        <w:spacing w:after="80" w:line="290" w:lineRule="auto"/>
      </w:pPr>
      <w:r>
        <w:rPr>
          <w:rFonts w:ascii="Calibri" w:hAnsi="Calibri" w:eastAsia="Calibri"/>
          <w:color w:val="1F2937"/>
          <w:sz w:val="22"/>
        </w:rPr>
        <w:t>Employee master list, demographic profiles, personnel statistics, filled and unfilled positions, and organization distributions.</w:t>
      </w:r>
    </w:p>
    <w:p>
      <w:pPr>
        <w:numPr>
          <w:ilvl w:val="0"/>
          <w:numId w:val="90"/>
        </w:numPr>
        <w:spacing w:after="80" w:line="290" w:lineRule="auto"/>
      </w:pPr>
      <w:r>
        <w:rPr>
          <w:rFonts w:ascii="Calibri" w:hAnsi="Calibri" w:eastAsia="Calibri"/>
          <w:color w:val="1F2937"/>
          <w:sz w:val="22"/>
        </w:rPr>
        <w:t>Attendance, tardiness, undertime, absences, overtime, schedules, travel, OB, perfect attendance, and DTR summaries.</w:t>
      </w:r>
    </w:p>
    <w:p>
      <w:pPr>
        <w:numPr>
          <w:ilvl w:val="0"/>
          <w:numId w:val="90"/>
        </w:numPr>
        <w:spacing w:after="80" w:line="290" w:lineRule="auto"/>
      </w:pPr>
      <w:r>
        <w:rPr>
          <w:rFonts w:ascii="Calibri" w:hAnsi="Calibri" w:eastAsia="Calibri"/>
          <w:color w:val="1F2937"/>
          <w:sz w:val="22"/>
        </w:rPr>
        <w:t>Leave balances, ledger cards, certifications, forced leave, late-filed leave, disapproved applications, sick-leave profiles, and summaries.</w:t>
      </w:r>
    </w:p>
    <w:p>
      <w:pPr>
        <w:numPr>
          <w:ilvl w:val="0"/>
          <w:numId w:val="90"/>
        </w:numPr>
        <w:spacing w:after="80" w:line="290" w:lineRule="auto"/>
      </w:pPr>
      <w:r>
        <w:rPr>
          <w:rFonts w:ascii="Calibri" w:hAnsi="Calibri" w:eastAsia="Calibri"/>
          <w:color w:val="1F2937"/>
          <w:sz w:val="22"/>
        </w:rPr>
        <w:t>Plantilla, service record, salary adjustment, step increment, loyalty, COE, and other employee certifications.</w:t>
      </w:r>
    </w:p>
    <w:p>
      <w:pPr>
        <w:numPr>
          <w:ilvl w:val="0"/>
          <w:numId w:val="90"/>
        </w:numPr>
        <w:spacing w:after="80" w:line="290" w:lineRule="auto"/>
      </w:pPr>
      <w:r>
        <w:rPr>
          <w:rFonts w:ascii="Calibri" w:hAnsi="Calibri" w:eastAsia="Calibri"/>
          <w:color w:val="1F2937"/>
          <w:sz w:val="22"/>
        </w:rPr>
        <w:t>Saved filters and controlled report definitions after standard reports and official output formats are accepted.</w:t>
      </w:r>
    </w:p>
    <w:tbl>
      <w:tblPr>
        <w:tblW w:type="dxa" w:w="9360"/>
        <w:jc w:val="left"/>
        <w:tblLayout w:type="fixed"/>
        <w:tblLook w:firstColumn="1" w:firstRow="1" w:lastColumn="0" w:lastRow="0" w:noHBand="0" w:noVBand="1" w:val="04A0"/>
        <w:tblInd w:w="120" w:type="dxa"/>
        <w:tblBorders>
          <w:top w:val="single" w:sz="6" w:space="0" w:color="C9D8EB"/>
          <w:left w:val="single" w:sz="6" w:space="0" w:color="C9D8EB"/>
          <w:bottom w:val="single" w:sz="6" w:space="0" w:color="C9D8EB"/>
          <w:right w:val="single" w:sz="6" w:space="0" w:color="C9D8EB"/>
          <w:insideH w:val="single" w:sz="6" w:space="0" w:color="C9D8EB"/>
          <w:insideV w:val="single" w:sz="6" w:space="0" w:color="C9D8EB"/>
        </w:tblBorders>
      </w:tblPr>
      <w:tblGrid>
        <w:gridCol w:w="9360"/>
      </w:tblGrid>
      <w:tr>
        <w:trPr>
          <w:cantSplit/>
        </w:trPr>
        <w:tc>
          <w:tcPr>
            <w:tcW w:type="dxa" w:w="9360"/>
            <w:tcMar>
              <w:top w:w="80" w:type="dxa"/>
              <w:start w:w="120" w:type="dxa"/>
              <w:bottom w:w="80" w:type="dxa"/>
              <w:end w:w="120" w:type="dxa"/>
            </w:tcMar>
            <w:vAlign w:val="center"/>
            <w:shd w:fill="EEF4FB" w:val="clear"/>
          </w:tcPr>
          <w:p>
            <w:pPr>
              <w:pStyle w:val="Callout"/>
            </w:pPr>
            <w:r>
              <w:rPr>
                <w:rFonts w:ascii="Calibri" w:hAnsi="Calibri" w:eastAsia="Calibri"/>
                <w:b/>
                <w:color w:val="1F4D78"/>
                <w:sz w:val="21"/>
              </w:rPr>
              <w:t xml:space="preserve">Report acceptance: </w:t>
            </w:r>
            <w:r>
              <w:rPr>
                <w:rFonts w:ascii="Calibri" w:hAnsi="Calibri" w:eastAsia="Calibri"/>
                <w:color w:val="1F4D78"/>
                <w:sz w:val="21"/>
              </w:rPr>
              <w:t>Each report will have an approved definition covering purpose, authorized users, data scope, filters, calculations, as-of date, totals, output format, record count, and sample sign-off.</w:t>
            </w:r>
          </w:p>
        </w:tc>
      </w:tr>
    </w:tbl>
    <w:p>
      <w:pPr>
        <w:spacing w:before="0" w:after="60"/>
      </w:pPr>
    </w:p>
    <w:p>
      <w:pPr>
        <w:pStyle w:val="Heading2"/>
      </w:pPr>
      <w:r>
        <w:t>3.7 Administration, Security, Backup, and Recovery</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00"/>
        <w:gridCol w:w="1750"/>
        <w:gridCol w:w="4710"/>
      </w:tblGrid>
      <w:tr>
        <w:trPr>
          <w:cantSplit/>
          <w:tblHeader w:val="true"/>
        </w:trPr>
        <w:tc>
          <w:tcPr>
            <w:tcW w:type="dxa" w:w="2900"/>
            <w:tcMar>
              <w:top w:w="80" w:type="dxa"/>
              <w:start w:w="120" w:type="dxa"/>
              <w:bottom w:w="80" w:type="dxa"/>
              <w:end w:w="120" w:type="dxa"/>
            </w:tcMar>
            <w:vAlign w:val="center"/>
            <w:shd w:fill="F4F6F9" w:val="clear"/>
          </w:tcPr>
          <w:p>
            <w:pPr>
              <w:pStyle w:val="TableHeader"/>
              <w:jc w:val="left"/>
            </w:pPr>
            <w:r>
              <w:t>Capability</w:t>
            </w:r>
          </w:p>
        </w:tc>
        <w:tc>
          <w:tcPr>
            <w:tcW w:type="dxa" w:w="1750"/>
            <w:tcMar>
              <w:top w:w="80" w:type="dxa"/>
              <w:start w:w="120" w:type="dxa"/>
              <w:bottom w:w="80" w:type="dxa"/>
              <w:end w:w="120" w:type="dxa"/>
            </w:tcMar>
            <w:vAlign w:val="center"/>
            <w:shd w:fill="F4F6F9" w:val="clear"/>
          </w:tcPr>
          <w:p>
            <w:pPr>
              <w:pStyle w:val="TableHeader"/>
              <w:jc w:val="center"/>
            </w:pPr>
            <w:r>
              <w:t>Status</w:t>
            </w:r>
          </w:p>
        </w:tc>
        <w:tc>
          <w:tcPr>
            <w:tcW w:type="dxa" w:w="4710"/>
            <w:tcMar>
              <w:top w:w="80" w:type="dxa"/>
              <w:start w:w="120" w:type="dxa"/>
              <w:bottom w:w="80" w:type="dxa"/>
              <w:end w:w="120" w:type="dxa"/>
            </w:tcMar>
            <w:vAlign w:val="center"/>
            <w:shd w:fill="F4F6F9" w:val="clear"/>
          </w:tcPr>
          <w:p>
            <w:pPr>
              <w:pStyle w:val="TableHeader"/>
              <w:jc w:val="left"/>
            </w:pPr>
            <w:r>
              <w:t>Proposed delivery and acceptance</w:t>
            </w:r>
          </w:p>
        </w:tc>
      </w:tr>
      <w:tr>
        <w:trPr>
          <w:cantSplit/>
        </w:trPr>
        <w:tc>
          <w:tcPr>
            <w:tcW w:type="dxa" w:w="2900"/>
            <w:tcMar>
              <w:top w:w="80" w:type="dxa"/>
              <w:start w:w="120" w:type="dxa"/>
              <w:bottom w:w="80" w:type="dxa"/>
              <w:end w:w="120" w:type="dxa"/>
            </w:tcMar>
            <w:vAlign w:val="center"/>
          </w:tcPr>
          <w:p>
            <w:pPr>
              <w:pStyle w:val="TableText"/>
              <w:jc w:val="left"/>
            </w:pPr>
            <w:r>
              <w:t>User accounts, roles, and action permissions</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Unlimited account creation subject to capacity, configurable role-permission matrix, employee linking, lock/unlock, reset, and deny-by-default enforcement.</w:t>
            </w:r>
          </w:p>
        </w:tc>
      </w:tr>
      <w:tr>
        <w:trPr>
          <w:cantSplit/>
        </w:trPr>
        <w:tc>
          <w:tcPr>
            <w:tcW w:type="dxa" w:w="2900"/>
            <w:tcMar>
              <w:top w:w="80" w:type="dxa"/>
              <w:start w:w="120" w:type="dxa"/>
              <w:bottom w:w="80" w:type="dxa"/>
              <w:end w:w="120" w:type="dxa"/>
            </w:tcMar>
            <w:vAlign w:val="center"/>
          </w:tcPr>
          <w:p>
            <w:pPr>
              <w:pStyle w:val="TableText"/>
              <w:jc w:val="left"/>
            </w:pPr>
            <w:r>
              <w:t>Audit and error logs</w:t>
            </w:r>
          </w:p>
        </w:tc>
        <w:tc>
          <w:tcPr>
            <w:tcW w:type="dxa" w:w="1750"/>
            <w:tcMar>
              <w:top w:w="80" w:type="dxa"/>
              <w:start w:w="120" w:type="dxa"/>
              <w:bottom w:w="80" w:type="dxa"/>
              <w:end w:w="120" w:type="dxa"/>
            </w:tcMar>
            <w:vAlign w:val="center"/>
            <w:shd w:fill="EAF5EE" w:val="clear"/>
          </w:tcPr>
          <w:p>
            <w:pPr>
              <w:pStyle w:val="TableText"/>
              <w:jc w:val="center"/>
            </w:pPr>
            <w:r>
              <w:t>Available baseline</w:t>
            </w:r>
          </w:p>
        </w:tc>
        <w:tc>
          <w:tcPr>
            <w:tcW w:type="dxa" w:w="4710"/>
            <w:tcMar>
              <w:top w:w="80" w:type="dxa"/>
              <w:start w:w="120" w:type="dxa"/>
              <w:bottom w:w="80" w:type="dxa"/>
              <w:end w:w="120" w:type="dxa"/>
            </w:tcMar>
            <w:vAlign w:val="center"/>
          </w:tcPr>
          <w:p>
            <w:pPr>
              <w:pStyle w:val="TableText"/>
              <w:jc w:val="left"/>
            </w:pPr>
            <w:r>
              <w:t>Action and error history; complete retained-history pagination, filters, controlled export, retention, and monitoring alerts during implementation.</w:t>
            </w:r>
          </w:p>
        </w:tc>
      </w:tr>
      <w:tr>
        <w:trPr>
          <w:cantSplit/>
        </w:trPr>
        <w:tc>
          <w:tcPr>
            <w:tcW w:type="dxa" w:w="2900"/>
            <w:tcMar>
              <w:top w:w="80" w:type="dxa"/>
              <w:start w:w="120" w:type="dxa"/>
              <w:bottom w:w="80" w:type="dxa"/>
              <w:end w:w="120" w:type="dxa"/>
            </w:tcMar>
            <w:vAlign w:val="center"/>
          </w:tcPr>
          <w:p>
            <w:pPr>
              <w:pStyle w:val="TableText"/>
              <w:jc w:val="left"/>
            </w:pPr>
            <w:r>
              <w:t>Configurable session timeout</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Administrator-configurable duration within approved security limits, with documented idle/absolute timeout behavior.</w:t>
            </w:r>
          </w:p>
        </w:tc>
      </w:tr>
      <w:tr>
        <w:trPr>
          <w:cantSplit/>
        </w:trPr>
        <w:tc>
          <w:tcPr>
            <w:tcW w:type="dxa" w:w="2900"/>
            <w:tcMar>
              <w:top w:w="80" w:type="dxa"/>
              <w:start w:w="120" w:type="dxa"/>
              <w:bottom w:w="80" w:type="dxa"/>
              <w:end w:w="120" w:type="dxa"/>
            </w:tcMar>
            <w:vAlign w:val="center"/>
          </w:tcPr>
          <w:p>
            <w:pPr>
              <w:pStyle w:val="TableText"/>
              <w:jc w:val="left"/>
            </w:pPr>
            <w:r>
              <w:t>Complete automated backups</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Encrypted daily and monthly backup, signed manifest, off-system copy, retention, failure alerts, and restricted download/access.</w:t>
            </w:r>
          </w:p>
        </w:tc>
      </w:tr>
      <w:tr>
        <w:trPr>
          <w:cantSplit/>
        </w:trPr>
        <w:tc>
          <w:tcPr>
            <w:tcW w:type="dxa" w:w="2900"/>
            <w:tcMar>
              <w:top w:w="80" w:type="dxa"/>
              <w:start w:w="120" w:type="dxa"/>
              <w:bottom w:w="80" w:type="dxa"/>
              <w:end w:w="120" w:type="dxa"/>
            </w:tcMar>
            <w:vAlign w:val="center"/>
          </w:tcPr>
          <w:p>
            <w:pPr>
              <w:pStyle w:val="TableText"/>
              <w:jc w:val="left"/>
            </w:pPr>
            <w:r>
              <w:t>Restore and recovery testing</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Controlled restore tool/runbook, 12-hour recovery objective validation, periodic witnessed restore test, and evidence package.</w:t>
            </w:r>
          </w:p>
        </w:tc>
      </w:tr>
      <w:tr>
        <w:trPr>
          <w:cantSplit/>
        </w:trPr>
        <w:tc>
          <w:tcPr>
            <w:tcW w:type="dxa" w:w="2900"/>
            <w:tcMar>
              <w:top w:w="80" w:type="dxa"/>
              <w:start w:w="120" w:type="dxa"/>
              <w:bottom w:w="80" w:type="dxa"/>
              <w:end w:w="120" w:type="dxa"/>
            </w:tcMar>
            <w:vAlign w:val="center"/>
          </w:tcPr>
          <w:p>
            <w:pPr>
              <w:pStyle w:val="TableText"/>
              <w:jc w:val="left"/>
            </w:pPr>
            <w:r>
              <w:t>Archiving and reload</w:t>
            </w:r>
          </w:p>
        </w:tc>
        <w:tc>
          <w:tcPr>
            <w:tcW w:type="dxa" w:w="1750"/>
            <w:tcMar>
              <w:top w:w="80" w:type="dxa"/>
              <w:start w:w="120" w:type="dxa"/>
              <w:bottom w:w="80" w:type="dxa"/>
              <w:end w:w="120" w:type="dxa"/>
            </w:tcMar>
            <w:vAlign w:val="center"/>
            <w:shd w:fill="EEF4FB" w:val="clear"/>
          </w:tcPr>
          <w:p>
            <w:pPr>
              <w:pStyle w:val="TableText"/>
              <w:jc w:val="center"/>
            </w:pPr>
            <w:r>
              <w:t>Included for completion</w:t>
            </w:r>
          </w:p>
        </w:tc>
        <w:tc>
          <w:tcPr>
            <w:tcW w:type="dxa" w:w="4710"/>
            <w:tcMar>
              <w:top w:w="80" w:type="dxa"/>
              <w:start w:w="120" w:type="dxa"/>
              <w:bottom w:w="80" w:type="dxa"/>
              <w:end w:w="120" w:type="dxa"/>
            </w:tcMar>
            <w:vAlign w:val="center"/>
          </w:tcPr>
          <w:p>
            <w:pPr>
              <w:pStyle w:val="TableText"/>
              <w:jc w:val="left"/>
            </w:pPr>
            <w:r>
              <w:t>Policy-aligned archival package, integrity checks, authorized reload, retention, and destruction workflow subject to STRH/NAP policy.</w:t>
            </w:r>
          </w:p>
        </w:tc>
      </w:tr>
    </w:tbl>
    <w:p>
      <w:pPr>
        <w:spacing w:before="0" w:after="40"/>
      </w:pPr>
    </w:p>
    <w:p>
      <w:pPr>
        <w:pStyle w:val="Heading1"/>
      </w:pPr>
      <w:r>
        <w:t>4. Technical Architecture and Security</w:t>
      </w:r>
    </w:p>
    <w:p>
      <w:pPr>
        <w:pStyle w:val="Heading2"/>
      </w:pPr>
      <w:r>
        <w:t>4.1 Proposed application architecture</w:t>
      </w:r>
    </w:p>
    <w:p>
      <w:pPr>
        <w:spacing w:before="0" w:after="160"/>
      </w:pPr>
      <w:r>
        <w:rPr>
          <w:rFonts w:ascii="Calibri" w:hAnsi="Calibri" w:eastAsia="Calibri"/>
          <w:b w:val="0"/>
          <w:i w:val="0"/>
        </w:rPr>
        <w:t>The proposed solution uses a separated web user interface, application/API service, and relational database. The current implementation uses React 19 with TanStack Router and Vite for the browser application, a Node.js API service for server-side business rules and authorization, Python tooling for prescribed document generation, and MySQL 8 for persistent data.</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00"/>
        <w:gridCol w:w="7060"/>
      </w:tblGrid>
      <w:tr>
        <w:trPr>
          <w:cantSplit/>
          <w:tblHeader w:val="true"/>
        </w:trPr>
        <w:tc>
          <w:tcPr>
            <w:tcW w:type="dxa" w:w="2300"/>
            <w:tcMar>
              <w:top w:w="80" w:type="dxa"/>
              <w:start w:w="120" w:type="dxa"/>
              <w:bottom w:w="80" w:type="dxa"/>
              <w:end w:w="120" w:type="dxa"/>
            </w:tcMar>
            <w:vAlign w:val="center"/>
            <w:shd w:fill="F4F6F9" w:val="clear"/>
          </w:tcPr>
          <w:p>
            <w:pPr>
              <w:pStyle w:val="TableHeader"/>
              <w:jc w:val="left"/>
            </w:pPr>
            <w:r>
              <w:t>Layer</w:t>
            </w:r>
          </w:p>
        </w:tc>
        <w:tc>
          <w:tcPr>
            <w:tcW w:type="dxa" w:w="7060"/>
            <w:tcMar>
              <w:top w:w="80" w:type="dxa"/>
              <w:start w:w="120" w:type="dxa"/>
              <w:bottom w:w="80" w:type="dxa"/>
              <w:end w:w="120" w:type="dxa"/>
            </w:tcMar>
            <w:vAlign w:val="center"/>
            <w:shd w:fill="F4F6F9" w:val="clear"/>
          </w:tcPr>
          <w:p>
            <w:pPr>
              <w:pStyle w:val="TableHeader"/>
              <w:jc w:val="left"/>
            </w:pPr>
            <w:r>
              <w:t>Proposed technology and responsibility</w:t>
            </w:r>
          </w:p>
        </w:tc>
      </w:tr>
      <w:tr>
        <w:trPr>
          <w:cantSplit/>
        </w:trPr>
        <w:tc>
          <w:tcPr>
            <w:tcW w:type="dxa" w:w="2300"/>
            <w:tcMar>
              <w:top w:w="80" w:type="dxa"/>
              <w:start w:w="120" w:type="dxa"/>
              <w:bottom w:w="80" w:type="dxa"/>
              <w:end w:w="120" w:type="dxa"/>
            </w:tcMar>
            <w:vAlign w:val="center"/>
          </w:tcPr>
          <w:p>
            <w:pPr>
              <w:pStyle w:val="TableText"/>
              <w:jc w:val="left"/>
            </w:pPr>
            <w:r>
              <w:t>Presentation</w:t>
            </w:r>
          </w:p>
        </w:tc>
        <w:tc>
          <w:tcPr>
            <w:tcW w:type="dxa" w:w="7060"/>
            <w:tcMar>
              <w:top w:w="80" w:type="dxa"/>
              <w:start w:w="120" w:type="dxa"/>
              <w:bottom w:w="80" w:type="dxa"/>
              <w:end w:w="120" w:type="dxa"/>
            </w:tcMar>
            <w:vAlign w:val="center"/>
          </w:tcPr>
          <w:p>
            <w:pPr>
              <w:pStyle w:val="TableText"/>
              <w:jc w:val="left"/>
            </w:pPr>
            <w:r>
              <w:t>Responsive browser interface for supported desktop and mobile browsers; role- and permission-aware navigation and actions.</w:t>
            </w:r>
          </w:p>
        </w:tc>
      </w:tr>
      <w:tr>
        <w:trPr>
          <w:cantSplit/>
        </w:trPr>
        <w:tc>
          <w:tcPr>
            <w:tcW w:type="dxa" w:w="2300"/>
            <w:tcMar>
              <w:top w:w="80" w:type="dxa"/>
              <w:start w:w="120" w:type="dxa"/>
              <w:bottom w:w="80" w:type="dxa"/>
              <w:end w:w="120" w:type="dxa"/>
            </w:tcMar>
            <w:vAlign w:val="center"/>
          </w:tcPr>
          <w:p>
            <w:pPr>
              <w:pStyle w:val="TableText"/>
              <w:jc w:val="left"/>
            </w:pPr>
            <w:r>
              <w:t>Application/API</w:t>
            </w:r>
          </w:p>
        </w:tc>
        <w:tc>
          <w:tcPr>
            <w:tcW w:type="dxa" w:w="7060"/>
            <w:tcMar>
              <w:top w:w="80" w:type="dxa"/>
              <w:start w:w="120" w:type="dxa"/>
              <w:bottom w:w="80" w:type="dxa"/>
              <w:end w:w="120" w:type="dxa"/>
            </w:tcMar>
            <w:vAlign w:val="center"/>
          </w:tcPr>
          <w:p>
            <w:pPr>
              <w:pStyle w:val="TableText"/>
              <w:jc w:val="left"/>
            </w:pPr>
            <w:r>
              <w:t>Node.js service enforcing authentication, permissions, workflow rules, validation, audit events, integrations, and document-job authorization.</w:t>
            </w:r>
          </w:p>
        </w:tc>
      </w:tr>
      <w:tr>
        <w:trPr>
          <w:cantSplit/>
        </w:trPr>
        <w:tc>
          <w:tcPr>
            <w:tcW w:type="dxa" w:w="2300"/>
            <w:tcMar>
              <w:top w:w="80" w:type="dxa"/>
              <w:start w:w="120" w:type="dxa"/>
              <w:bottom w:w="80" w:type="dxa"/>
              <w:end w:w="120" w:type="dxa"/>
            </w:tcMar>
            <w:vAlign w:val="center"/>
          </w:tcPr>
          <w:p>
            <w:pPr>
              <w:pStyle w:val="TableText"/>
              <w:jc w:val="left"/>
            </w:pPr>
            <w:r>
              <w:t>Database</w:t>
            </w:r>
          </w:p>
        </w:tc>
        <w:tc>
          <w:tcPr>
            <w:tcW w:type="dxa" w:w="7060"/>
            <w:tcMar>
              <w:top w:w="80" w:type="dxa"/>
              <w:start w:w="120" w:type="dxa"/>
              <w:bottom w:w="80" w:type="dxa"/>
              <w:end w:w="120" w:type="dxa"/>
            </w:tcMar>
            <w:vAlign w:val="center"/>
          </w:tcPr>
          <w:p>
            <w:pPr>
              <w:pStyle w:val="TableText"/>
              <w:jc w:val="left"/>
            </w:pPr>
            <w:r>
              <w:t>MySQL 8 relational schema with constraints, indexes, migrations, backup, restore, and recovery procedures.</w:t>
            </w:r>
          </w:p>
        </w:tc>
      </w:tr>
      <w:tr>
        <w:trPr>
          <w:cantSplit/>
        </w:trPr>
        <w:tc>
          <w:tcPr>
            <w:tcW w:type="dxa" w:w="2300"/>
            <w:tcMar>
              <w:top w:w="80" w:type="dxa"/>
              <w:start w:w="120" w:type="dxa"/>
              <w:bottom w:w="80" w:type="dxa"/>
              <w:end w:w="120" w:type="dxa"/>
            </w:tcMar>
            <w:vAlign w:val="center"/>
          </w:tcPr>
          <w:p>
            <w:pPr>
              <w:pStyle w:val="TableText"/>
              <w:jc w:val="left"/>
            </w:pPr>
            <w:r>
              <w:t>Document generation</w:t>
            </w:r>
          </w:p>
        </w:tc>
        <w:tc>
          <w:tcPr>
            <w:tcW w:type="dxa" w:w="7060"/>
            <w:tcMar>
              <w:top w:w="80" w:type="dxa"/>
              <w:start w:w="120" w:type="dxa"/>
              <w:bottom w:w="80" w:type="dxa"/>
              <w:end w:w="120" w:type="dxa"/>
            </w:tcMar>
            <w:vAlign w:val="center"/>
          </w:tcPr>
          <w:p>
            <w:pPr>
              <w:pStyle w:val="TableText"/>
              <w:jc w:val="left"/>
            </w:pPr>
            <w:r>
              <w:t>Controlled Python/LibreOffice-compatible generation for approved forms and reports, with render and sample validation.</w:t>
            </w:r>
          </w:p>
        </w:tc>
      </w:tr>
      <w:tr>
        <w:trPr>
          <w:cantSplit/>
        </w:trPr>
        <w:tc>
          <w:tcPr>
            <w:tcW w:type="dxa" w:w="2300"/>
            <w:tcMar>
              <w:top w:w="80" w:type="dxa"/>
              <w:start w:w="120" w:type="dxa"/>
              <w:bottom w:w="80" w:type="dxa"/>
              <w:end w:w="120" w:type="dxa"/>
            </w:tcMar>
            <w:vAlign w:val="center"/>
          </w:tcPr>
          <w:p>
            <w:pPr>
              <w:pStyle w:val="TableText"/>
              <w:jc w:val="left"/>
            </w:pPr>
            <w:r>
              <w:t>Integration</w:t>
            </w:r>
          </w:p>
        </w:tc>
        <w:tc>
          <w:tcPr>
            <w:tcW w:type="dxa" w:w="7060"/>
            <w:tcMar>
              <w:top w:w="80" w:type="dxa"/>
              <w:start w:w="120" w:type="dxa"/>
              <w:bottom w:w="80" w:type="dxa"/>
              <w:end w:w="120" w:type="dxa"/>
            </w:tcMar>
            <w:vAlign w:val="center"/>
          </w:tcPr>
          <w:p>
            <w:pPr>
              <w:pStyle w:val="TableText"/>
              <w:jc w:val="left"/>
            </w:pPr>
            <w:r>
              <w:t>Biometric ADMS/TCP/IP, uploaded attendance files, email service where approved, and future interfaces governed by documented contracts.</w:t>
            </w:r>
          </w:p>
        </w:tc>
      </w:tr>
      <w:tr>
        <w:trPr>
          <w:cantSplit/>
        </w:trPr>
        <w:tc>
          <w:tcPr>
            <w:tcW w:type="dxa" w:w="2300"/>
            <w:tcMar>
              <w:top w:w="80" w:type="dxa"/>
              <w:start w:w="120" w:type="dxa"/>
              <w:bottom w:w="80" w:type="dxa"/>
              <w:end w:w="120" w:type="dxa"/>
            </w:tcMar>
            <w:vAlign w:val="center"/>
          </w:tcPr>
          <w:p>
            <w:pPr>
              <w:pStyle w:val="TableText"/>
              <w:jc w:val="left"/>
            </w:pPr>
            <w:r>
              <w:t>Deployment</w:t>
            </w:r>
          </w:p>
        </w:tc>
        <w:tc>
          <w:tcPr>
            <w:tcW w:type="dxa" w:w="7060"/>
            <w:tcMar>
              <w:top w:w="80" w:type="dxa"/>
              <w:start w:w="120" w:type="dxa"/>
              <w:bottom w:w="80" w:type="dxa"/>
              <w:end w:w="120" w:type="dxa"/>
            </w:tcMar>
            <w:vAlign w:val="center"/>
          </w:tcPr>
          <w:p>
            <w:pPr>
              <w:pStyle w:val="TableText"/>
              <w:jc w:val="left"/>
            </w:pPr>
            <w:r>
              <w:t>Windows Server 2019+ or an approved 64-bit open-source server OS, behind HTTPS and a controlled reverse proxy.</w:t>
            </w:r>
          </w:p>
        </w:tc>
      </w:tr>
    </w:tbl>
    <w:p>
      <w:pPr>
        <w:spacing w:before="0" w:after="40"/>
      </w:pPr>
    </w:p>
    <w:p>
      <w:pPr>
        <w:pStyle w:val="Heading2"/>
      </w:pPr>
      <w:r>
        <w:t>4.2 Security and privacy controls</w:t>
      </w:r>
    </w:p>
    <w:p>
      <w:pPr>
        <w:numPr>
          <w:ilvl w:val="0"/>
          <w:numId w:val="90"/>
        </w:numPr>
        <w:spacing w:after="80" w:line="290" w:lineRule="auto"/>
      </w:pPr>
      <w:r>
        <w:rPr>
          <w:rFonts w:ascii="Calibri" w:hAnsi="Calibri" w:eastAsia="Calibri"/>
          <w:color w:val="1F2937"/>
          <w:sz w:val="22"/>
        </w:rPr>
        <w:t>HTTPS/TLS for all production access, secure cookies, approved origins, and restricted administrative endpoints.</w:t>
      </w:r>
    </w:p>
    <w:p>
      <w:pPr>
        <w:numPr>
          <w:ilvl w:val="0"/>
          <w:numId w:val="90"/>
        </w:numPr>
        <w:spacing w:after="80" w:line="290" w:lineRule="auto"/>
      </w:pPr>
      <w:r>
        <w:rPr>
          <w:rFonts w:ascii="Calibri" w:hAnsi="Calibri" w:eastAsia="Calibri"/>
          <w:color w:val="1F2937"/>
          <w:sz w:val="22"/>
        </w:rPr>
        <w:t>Server-side authorization for every protected action, with role-permission mapping and record ownership checks.</w:t>
      </w:r>
    </w:p>
    <w:p>
      <w:pPr>
        <w:numPr>
          <w:ilvl w:val="0"/>
          <w:numId w:val="90"/>
        </w:numPr>
        <w:spacing w:after="80" w:line="290" w:lineRule="auto"/>
      </w:pPr>
      <w:r>
        <w:rPr>
          <w:rFonts w:ascii="Calibri" w:hAnsi="Calibri" w:eastAsia="Calibri"/>
          <w:color w:val="1F2937"/>
          <w:sz w:val="22"/>
        </w:rPr>
        <w:t>Three-attempt account lock, password change/reset controls, password history, session expiry, and administrator auditability.</w:t>
      </w:r>
    </w:p>
    <w:p>
      <w:pPr>
        <w:numPr>
          <w:ilvl w:val="0"/>
          <w:numId w:val="90"/>
        </w:numPr>
        <w:spacing w:after="80" w:line="290" w:lineRule="auto"/>
      </w:pPr>
      <w:r>
        <w:rPr>
          <w:rFonts w:ascii="Calibri" w:hAnsi="Calibri" w:eastAsia="Calibri"/>
          <w:color w:val="1F2937"/>
          <w:sz w:val="22"/>
        </w:rPr>
        <w:t>Data minimization, least privilege, protected HR documents, controlled exports, retention, and accountable access to sensitive records.</w:t>
      </w:r>
    </w:p>
    <w:p>
      <w:pPr>
        <w:numPr>
          <w:ilvl w:val="0"/>
          <w:numId w:val="90"/>
        </w:numPr>
        <w:spacing w:after="80" w:line="290" w:lineRule="auto"/>
      </w:pPr>
      <w:r>
        <w:rPr>
          <w:rFonts w:ascii="Calibri" w:hAnsi="Calibri" w:eastAsia="Calibri"/>
          <w:color w:val="1F2937"/>
          <w:sz w:val="22"/>
        </w:rPr>
        <w:t>Audit trails for authentication, record changes, approvals, corrections, exports, and administrative actions.</w:t>
      </w:r>
    </w:p>
    <w:p>
      <w:pPr>
        <w:numPr>
          <w:ilvl w:val="0"/>
          <w:numId w:val="90"/>
        </w:numPr>
        <w:spacing w:after="80" w:line="290" w:lineRule="auto"/>
      </w:pPr>
      <w:r>
        <w:rPr>
          <w:rFonts w:ascii="Calibri" w:hAnsi="Calibri" w:eastAsia="Calibri"/>
          <w:color w:val="1F2937"/>
          <w:sz w:val="22"/>
        </w:rPr>
        <w:t>Encrypted and isolated backup storage, secrets management, logging, monitoring, dependency review, and vulnerability remediation before go-live.</w:t>
      </w:r>
    </w:p>
    <w:tbl>
      <w:tblPr>
        <w:tblW w:type="dxa" w:w="9360"/>
        <w:jc w:val="left"/>
        <w:tblLayout w:type="fixed"/>
        <w:tblLook w:firstColumn="1" w:firstRow="1" w:lastColumn="0" w:lastRow="0" w:noHBand="0" w:noVBand="1" w:val="04A0"/>
        <w:tblInd w:w="120" w:type="dxa"/>
        <w:tblBorders>
          <w:top w:val="single" w:sz="6" w:space="0" w:color="C9D8EB"/>
          <w:left w:val="single" w:sz="6" w:space="0" w:color="C9D8EB"/>
          <w:bottom w:val="single" w:sz="6" w:space="0" w:color="C9D8EB"/>
          <w:right w:val="single" w:sz="6" w:space="0" w:color="C9D8EB"/>
          <w:insideH w:val="single" w:sz="6" w:space="0" w:color="C9D8EB"/>
          <w:insideV w:val="single" w:sz="6" w:space="0" w:color="C9D8EB"/>
        </w:tblBorders>
      </w:tblPr>
      <w:tblGrid>
        <w:gridCol w:w="9360"/>
      </w:tblGrid>
      <w:tr>
        <w:trPr>
          <w:cantSplit/>
        </w:trPr>
        <w:tc>
          <w:tcPr>
            <w:tcW w:type="dxa" w:w="9360"/>
            <w:tcMar>
              <w:top w:w="80" w:type="dxa"/>
              <w:start w:w="120" w:type="dxa"/>
              <w:bottom w:w="80" w:type="dxa"/>
              <w:end w:w="120" w:type="dxa"/>
            </w:tcMar>
            <w:vAlign w:val="center"/>
            <w:shd w:fill="FDECEC" w:val="clear"/>
          </w:tcPr>
          <w:p>
            <w:pPr>
              <w:pStyle w:val="Callout"/>
            </w:pPr>
            <w:r>
              <w:rPr>
                <w:rFonts w:ascii="Calibri" w:hAnsi="Calibri" w:eastAsia="Calibri"/>
                <w:b/>
                <w:color w:val="1F4D78"/>
                <w:sz w:val="21"/>
              </w:rPr>
              <w:t xml:space="preserve">Production security gate: </w:t>
            </w:r>
            <w:r>
              <w:rPr>
                <w:rFonts w:ascii="Calibri" w:hAnsi="Calibri" w:eastAsia="Calibri"/>
                <w:color w:val="1F4D78"/>
                <w:sz w:val="21"/>
              </w:rPr>
              <w:t>Production acceptance requires deployment hardening, valid SSL, permission testing, backup/restore evidence, vulnerability review, and closure of all agreed critical and high-risk findings.</w:t>
            </w:r>
          </w:p>
        </w:tc>
      </w:tr>
    </w:tbl>
    <w:p>
      <w:pPr>
        <w:spacing w:before="0" w:after="60"/>
      </w:pPr>
    </w:p>
    <w:p>
      <w:pPr>
        <w:pStyle w:val="Heading2"/>
      </w:pPr>
      <w:r>
        <w:t>4.3 Supported client and server environment</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300"/>
        <w:gridCol w:w="7060"/>
      </w:tblGrid>
      <w:tr>
        <w:trPr>
          <w:cantSplit/>
          <w:tblHeader w:val="true"/>
        </w:trPr>
        <w:tc>
          <w:tcPr>
            <w:tcW w:type="dxa" w:w="2300"/>
            <w:tcMar>
              <w:top w:w="80" w:type="dxa"/>
              <w:start w:w="120" w:type="dxa"/>
              <w:bottom w:w="80" w:type="dxa"/>
              <w:end w:w="120" w:type="dxa"/>
            </w:tcMar>
            <w:vAlign w:val="center"/>
            <w:shd w:fill="F4F6F9" w:val="clear"/>
          </w:tcPr>
          <w:p>
            <w:pPr>
              <w:pStyle w:val="TableHeader"/>
              <w:jc w:val="left"/>
            </w:pPr>
            <w:r>
              <w:t>Environment</w:t>
            </w:r>
          </w:p>
        </w:tc>
        <w:tc>
          <w:tcPr>
            <w:tcW w:type="dxa" w:w="7060"/>
            <w:tcMar>
              <w:top w:w="80" w:type="dxa"/>
              <w:start w:w="120" w:type="dxa"/>
              <w:bottom w:w="80" w:type="dxa"/>
              <w:end w:w="120" w:type="dxa"/>
            </w:tcMar>
            <w:vAlign w:val="center"/>
            <w:shd w:fill="F4F6F9" w:val="clear"/>
          </w:tcPr>
          <w:p>
            <w:pPr>
              <w:pStyle w:val="TableHeader"/>
              <w:jc w:val="left"/>
            </w:pPr>
            <w:r>
              <w:t>Proposed support position</w:t>
            </w:r>
          </w:p>
        </w:tc>
      </w:tr>
      <w:tr>
        <w:trPr>
          <w:cantSplit/>
        </w:trPr>
        <w:tc>
          <w:tcPr>
            <w:tcW w:type="dxa" w:w="2300"/>
            <w:tcMar>
              <w:top w:w="80" w:type="dxa"/>
              <w:start w:w="120" w:type="dxa"/>
              <w:bottom w:w="80" w:type="dxa"/>
              <w:end w:w="120" w:type="dxa"/>
            </w:tcMar>
            <w:vAlign w:val="center"/>
          </w:tcPr>
          <w:p>
            <w:pPr>
              <w:pStyle w:val="TableText"/>
              <w:jc w:val="left"/>
            </w:pPr>
            <w:r>
              <w:t>Desktop browsers</w:t>
            </w:r>
          </w:p>
        </w:tc>
        <w:tc>
          <w:tcPr>
            <w:tcW w:type="dxa" w:w="7060"/>
            <w:tcMar>
              <w:top w:w="80" w:type="dxa"/>
              <w:start w:w="120" w:type="dxa"/>
              <w:bottom w:w="80" w:type="dxa"/>
              <w:end w:w="120" w:type="dxa"/>
            </w:tcMar>
            <w:vAlign w:val="center"/>
          </w:tcPr>
          <w:p>
            <w:pPr>
              <w:pStyle w:val="TableText"/>
              <w:jc w:val="left"/>
            </w:pPr>
            <w:r>
              <w:t>Current stable Microsoft Edge, Google Chrome, and Mozilla Firefox on supported Windows versions.</w:t>
            </w:r>
          </w:p>
        </w:tc>
      </w:tr>
      <w:tr>
        <w:trPr>
          <w:cantSplit/>
        </w:trPr>
        <w:tc>
          <w:tcPr>
            <w:tcW w:type="dxa" w:w="2300"/>
            <w:tcMar>
              <w:top w:w="80" w:type="dxa"/>
              <w:start w:w="120" w:type="dxa"/>
              <w:bottom w:w="80" w:type="dxa"/>
              <w:end w:w="120" w:type="dxa"/>
            </w:tcMar>
            <w:vAlign w:val="center"/>
          </w:tcPr>
          <w:p>
            <w:pPr>
              <w:pStyle w:val="TableText"/>
              <w:jc w:val="left"/>
            </w:pPr>
            <w:r>
              <w:t>Mobile browsers</w:t>
            </w:r>
          </w:p>
        </w:tc>
        <w:tc>
          <w:tcPr>
            <w:tcW w:type="dxa" w:w="7060"/>
            <w:tcMar>
              <w:top w:w="80" w:type="dxa"/>
              <w:start w:w="120" w:type="dxa"/>
              <w:bottom w:w="80" w:type="dxa"/>
              <w:end w:w="120" w:type="dxa"/>
            </w:tcMar>
            <w:vAlign w:val="center"/>
          </w:tcPr>
          <w:p>
            <w:pPr>
              <w:pStyle w:val="TableText"/>
              <w:jc w:val="left"/>
            </w:pPr>
            <w:r>
              <w:t>Current stable Chrome on Android and Safari on supported iOS versions; formal device matrix to be approved.</w:t>
            </w:r>
          </w:p>
        </w:tc>
      </w:tr>
      <w:tr>
        <w:trPr>
          <w:cantSplit/>
        </w:trPr>
        <w:tc>
          <w:tcPr>
            <w:tcW w:type="dxa" w:w="2300"/>
            <w:tcMar>
              <w:top w:w="80" w:type="dxa"/>
              <w:start w:w="120" w:type="dxa"/>
              <w:bottom w:w="80" w:type="dxa"/>
              <w:end w:w="120" w:type="dxa"/>
            </w:tcMar>
            <w:vAlign w:val="center"/>
          </w:tcPr>
          <w:p>
            <w:pPr>
              <w:pStyle w:val="TableText"/>
              <w:jc w:val="left"/>
            </w:pPr>
            <w:r>
              <w:t>Legacy browser</w:t>
            </w:r>
          </w:p>
        </w:tc>
        <w:tc>
          <w:tcPr>
            <w:tcW w:type="dxa" w:w="7060"/>
            <w:tcMar>
              <w:top w:w="80" w:type="dxa"/>
              <w:start w:w="120" w:type="dxa"/>
              <w:bottom w:w="80" w:type="dxa"/>
              <w:end w:w="120" w:type="dxa"/>
            </w:tcMar>
            <w:vAlign w:val="center"/>
          </w:tcPr>
          <w:p>
            <w:pPr>
              <w:pStyle w:val="TableText"/>
              <w:jc w:val="left"/>
            </w:pPr>
            <w:r>
              <w:t>Internet Explorer and unspecified obsolete browsers are not assumed. Clarification or exception is required.</w:t>
            </w:r>
          </w:p>
        </w:tc>
      </w:tr>
      <w:tr>
        <w:trPr>
          <w:cantSplit/>
        </w:trPr>
        <w:tc>
          <w:tcPr>
            <w:tcW w:type="dxa" w:w="2300"/>
            <w:tcMar>
              <w:top w:w="80" w:type="dxa"/>
              <w:start w:w="120" w:type="dxa"/>
              <w:bottom w:w="80" w:type="dxa"/>
              <w:end w:w="120" w:type="dxa"/>
            </w:tcMar>
            <w:vAlign w:val="center"/>
          </w:tcPr>
          <w:p>
            <w:pPr>
              <w:pStyle w:val="TableText"/>
              <w:jc w:val="left"/>
            </w:pPr>
            <w:r>
              <w:t>Server OS</w:t>
            </w:r>
          </w:p>
        </w:tc>
        <w:tc>
          <w:tcPr>
            <w:tcW w:type="dxa" w:w="7060"/>
            <w:tcMar>
              <w:top w:w="80" w:type="dxa"/>
              <w:start w:w="120" w:type="dxa"/>
              <w:bottom w:w="80" w:type="dxa"/>
              <w:end w:w="120" w:type="dxa"/>
            </w:tcMar>
            <w:vAlign w:val="center"/>
          </w:tcPr>
          <w:p>
            <w:pPr>
              <w:pStyle w:val="TableText"/>
              <w:jc w:val="left"/>
            </w:pPr>
            <w:r>
              <w:t>Windows Server 2019 or later, or an approved 64-bit open-source server OS after deployment certification.</w:t>
            </w:r>
          </w:p>
        </w:tc>
      </w:tr>
      <w:tr>
        <w:trPr>
          <w:cantSplit/>
        </w:trPr>
        <w:tc>
          <w:tcPr>
            <w:tcW w:type="dxa" w:w="2300"/>
            <w:tcMar>
              <w:top w:w="80" w:type="dxa"/>
              <w:start w:w="120" w:type="dxa"/>
              <w:bottom w:w="80" w:type="dxa"/>
              <w:end w:w="120" w:type="dxa"/>
            </w:tcMar>
            <w:vAlign w:val="center"/>
          </w:tcPr>
          <w:p>
            <w:pPr>
              <w:pStyle w:val="TableText"/>
              <w:jc w:val="left"/>
            </w:pPr>
            <w:r>
              <w:t>Database</w:t>
            </w:r>
          </w:p>
        </w:tc>
        <w:tc>
          <w:tcPr>
            <w:tcW w:type="dxa" w:w="7060"/>
            <w:tcMar>
              <w:top w:w="80" w:type="dxa"/>
              <w:start w:w="120" w:type="dxa"/>
              <w:bottom w:w="80" w:type="dxa"/>
              <w:end w:w="120" w:type="dxa"/>
            </w:tcMar>
            <w:vAlign w:val="center"/>
          </w:tcPr>
          <w:p>
            <w:pPr>
              <w:pStyle w:val="TableText"/>
              <w:jc w:val="left"/>
            </w:pPr>
            <w:r>
              <w:t>MySQL 8 is the proposed and currently implemented database. Other database engines are excluded unless separately scoped.</w:t>
            </w:r>
          </w:p>
        </w:tc>
      </w:tr>
    </w:tbl>
    <w:p>
      <w:pPr>
        <w:spacing w:before="0" w:after="40"/>
      </w:pPr>
    </w:p>
    <w:p>
      <w:pPr>
        <w:pStyle w:val="Heading1"/>
      </w:pPr>
      <w:r>
        <w:t>5. Implementation Methodology and Schedule</w:t>
      </w:r>
    </w:p>
    <w:p>
      <w:pPr>
        <w:spacing w:before="0" w:after="160"/>
      </w:pPr>
      <w:r>
        <w:rPr>
          <w:rFonts w:ascii="Calibri" w:hAnsi="Calibri" w:eastAsia="Calibri"/>
          <w:b w:val="0"/>
          <w:i w:val="0"/>
        </w:rPr>
        <w:t>A thirty-two-week implementation is proposed because the engagement includes requirements validation, completion of material TOR gaps, official-data and form reconciliation, infrastructure and biometric integration, testing, training, and controlled deployment. Activities may overlap only where dependencies and quality gates allow.</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900"/>
        <w:gridCol w:w="1600"/>
        <w:gridCol w:w="5860"/>
      </w:tblGrid>
      <w:tr>
        <w:trPr>
          <w:cantSplit/>
          <w:tblHeader w:val="true"/>
        </w:trPr>
        <w:tc>
          <w:tcPr>
            <w:tcW w:type="dxa" w:w="1900"/>
            <w:tcMar>
              <w:top w:w="80" w:type="dxa"/>
              <w:start w:w="120" w:type="dxa"/>
              <w:bottom w:w="80" w:type="dxa"/>
              <w:end w:w="120" w:type="dxa"/>
            </w:tcMar>
            <w:vAlign w:val="center"/>
            <w:shd w:fill="F4F6F9" w:val="clear"/>
          </w:tcPr>
          <w:p>
            <w:pPr>
              <w:pStyle w:val="TableHeader"/>
              <w:jc w:val="left"/>
            </w:pPr>
            <w:r>
              <w:t>Phase</w:t>
            </w:r>
          </w:p>
        </w:tc>
        <w:tc>
          <w:tcPr>
            <w:tcW w:type="dxa" w:w="1600"/>
            <w:tcMar>
              <w:top w:w="80" w:type="dxa"/>
              <w:start w:w="120" w:type="dxa"/>
              <w:bottom w:w="80" w:type="dxa"/>
              <w:end w:w="120" w:type="dxa"/>
            </w:tcMar>
            <w:vAlign w:val="center"/>
            <w:shd w:fill="F4F6F9" w:val="clear"/>
          </w:tcPr>
          <w:p>
            <w:pPr>
              <w:pStyle w:val="TableHeader"/>
              <w:jc w:val="center"/>
            </w:pPr>
            <w:r>
              <w:t>Indicative timing</w:t>
            </w:r>
          </w:p>
        </w:tc>
        <w:tc>
          <w:tcPr>
            <w:tcW w:type="dxa" w:w="5860"/>
            <w:tcMar>
              <w:top w:w="80" w:type="dxa"/>
              <w:start w:w="120" w:type="dxa"/>
              <w:bottom w:w="80" w:type="dxa"/>
              <w:end w:w="120" w:type="dxa"/>
            </w:tcMar>
            <w:vAlign w:val="center"/>
            <w:shd w:fill="F4F6F9" w:val="clear"/>
          </w:tcPr>
          <w:p>
            <w:pPr>
              <w:pStyle w:val="TableHeader"/>
              <w:jc w:val="left"/>
            </w:pPr>
            <w:r>
              <w:t>Principal outputs / gate</w:t>
            </w:r>
          </w:p>
        </w:tc>
      </w:tr>
      <w:tr>
        <w:trPr>
          <w:cantSplit/>
        </w:trPr>
        <w:tc>
          <w:tcPr>
            <w:tcW w:type="dxa" w:w="1900"/>
            <w:tcMar>
              <w:top w:w="80" w:type="dxa"/>
              <w:start w:w="120" w:type="dxa"/>
              <w:bottom w:w="80" w:type="dxa"/>
              <w:end w:w="120" w:type="dxa"/>
            </w:tcMar>
            <w:vAlign w:val="center"/>
          </w:tcPr>
          <w:p>
            <w:pPr>
              <w:pStyle w:val="TableText"/>
              <w:jc w:val="left"/>
            </w:pPr>
            <w:r>
              <w:t>0. Mobilization and kickoff</w:t>
            </w:r>
          </w:p>
        </w:tc>
        <w:tc>
          <w:tcPr>
            <w:tcW w:type="dxa" w:w="1600"/>
            <w:tcMar>
              <w:top w:w="80" w:type="dxa"/>
              <w:start w:w="120" w:type="dxa"/>
              <w:bottom w:w="80" w:type="dxa"/>
              <w:end w:w="120" w:type="dxa"/>
            </w:tcMar>
            <w:vAlign w:val="center"/>
          </w:tcPr>
          <w:p>
            <w:pPr>
              <w:pStyle w:val="TableText"/>
              <w:jc w:val="center"/>
            </w:pPr>
            <w:r>
              <w:t>Week 1</w:t>
            </w:r>
          </w:p>
        </w:tc>
        <w:tc>
          <w:tcPr>
            <w:tcW w:type="dxa" w:w="5860"/>
            <w:tcMar>
              <w:top w:w="80" w:type="dxa"/>
              <w:start w:w="120" w:type="dxa"/>
              <w:bottom w:w="80" w:type="dxa"/>
              <w:end w:w="120" w:type="dxa"/>
            </w:tcMar>
            <w:vAlign w:val="center"/>
          </w:tcPr>
          <w:p>
            <w:pPr>
              <w:pStyle w:val="TableText"/>
              <w:jc w:val="left"/>
            </w:pPr>
            <w:r>
              <w:t>Governance, communication plan, access, issue log, source baseline, security rules, and detailed work plan.</w:t>
            </w:r>
          </w:p>
        </w:tc>
      </w:tr>
      <w:tr>
        <w:trPr>
          <w:cantSplit/>
        </w:trPr>
        <w:tc>
          <w:tcPr>
            <w:tcW w:type="dxa" w:w="1900"/>
            <w:tcMar>
              <w:top w:w="80" w:type="dxa"/>
              <w:start w:w="120" w:type="dxa"/>
              <w:bottom w:w="80" w:type="dxa"/>
              <w:end w:w="120" w:type="dxa"/>
            </w:tcMar>
            <w:vAlign w:val="center"/>
          </w:tcPr>
          <w:p>
            <w:pPr>
              <w:pStyle w:val="TableText"/>
              <w:jc w:val="left"/>
            </w:pPr>
            <w:r>
              <w:t>1. Requirements validation and Inception Report</w:t>
            </w:r>
          </w:p>
        </w:tc>
        <w:tc>
          <w:tcPr>
            <w:tcW w:type="dxa" w:w="1600"/>
            <w:tcMar>
              <w:top w:w="80" w:type="dxa"/>
              <w:start w:w="120" w:type="dxa"/>
              <w:bottom w:w="80" w:type="dxa"/>
              <w:end w:w="120" w:type="dxa"/>
            </w:tcMar>
            <w:vAlign w:val="center"/>
          </w:tcPr>
          <w:p>
            <w:pPr>
              <w:pStyle w:val="TableText"/>
              <w:jc w:val="center"/>
            </w:pPr>
            <w:r>
              <w:t>Weeks 2-4</w:t>
            </w:r>
          </w:p>
        </w:tc>
        <w:tc>
          <w:tcPr>
            <w:tcW w:type="dxa" w:w="5860"/>
            <w:tcMar>
              <w:top w:w="80" w:type="dxa"/>
              <w:start w:w="120" w:type="dxa"/>
              <w:bottom w:w="80" w:type="dxa"/>
              <w:end w:w="120" w:type="dxa"/>
            </w:tcMar>
            <w:vAlign w:val="center"/>
          </w:tcPr>
          <w:p>
            <w:pPr>
              <w:pStyle w:val="TableText"/>
              <w:jc w:val="left"/>
            </w:pPr>
            <w:r>
              <w:t>Approved scope, compliance matrix, workflows, data dictionary, report catalog, architecture, dependencies, acceptance criteria, and change control.</w:t>
            </w:r>
          </w:p>
        </w:tc>
      </w:tr>
      <w:tr>
        <w:trPr>
          <w:cantSplit/>
        </w:trPr>
        <w:tc>
          <w:tcPr>
            <w:tcW w:type="dxa" w:w="1900"/>
            <w:tcMar>
              <w:top w:w="80" w:type="dxa"/>
              <w:start w:w="120" w:type="dxa"/>
              <w:bottom w:w="80" w:type="dxa"/>
              <w:end w:w="120" w:type="dxa"/>
            </w:tcMar>
            <w:vAlign w:val="center"/>
          </w:tcPr>
          <w:p>
            <w:pPr>
              <w:pStyle w:val="TableText"/>
              <w:jc w:val="left"/>
            </w:pPr>
            <w:r>
              <w:t>2. STRH configuration and data preparation</w:t>
            </w:r>
          </w:p>
        </w:tc>
        <w:tc>
          <w:tcPr>
            <w:tcW w:type="dxa" w:w="1600"/>
            <w:tcMar>
              <w:top w:w="80" w:type="dxa"/>
              <w:start w:w="120" w:type="dxa"/>
              <w:bottom w:w="80" w:type="dxa"/>
              <w:end w:w="120" w:type="dxa"/>
            </w:tcMar>
            <w:vAlign w:val="center"/>
          </w:tcPr>
          <w:p>
            <w:pPr>
              <w:pStyle w:val="TableText"/>
              <w:jc w:val="center"/>
            </w:pPr>
            <w:r>
              <w:t>Weeks 5-9</w:t>
            </w:r>
          </w:p>
        </w:tc>
        <w:tc>
          <w:tcPr>
            <w:tcW w:type="dxa" w:w="5860"/>
            <w:tcMar>
              <w:top w:w="80" w:type="dxa"/>
              <w:start w:w="120" w:type="dxa"/>
              <w:bottom w:w="80" w:type="dxa"/>
              <w:end w:w="120" w:type="dxa"/>
            </w:tcMar>
            <w:vAlign w:val="center"/>
          </w:tcPr>
          <w:p>
            <w:pPr>
              <w:pStyle w:val="TableText"/>
              <w:jc w:val="left"/>
            </w:pPr>
            <w:r>
              <w:t>Official reference values, roles, signatories, initial migration mapping, data-quality report, templates, and environment readiness.</w:t>
            </w:r>
          </w:p>
        </w:tc>
      </w:tr>
      <w:tr>
        <w:trPr>
          <w:cantSplit/>
        </w:trPr>
        <w:tc>
          <w:tcPr>
            <w:tcW w:type="dxa" w:w="1900"/>
            <w:tcMar>
              <w:top w:w="80" w:type="dxa"/>
              <w:start w:w="120" w:type="dxa"/>
              <w:bottom w:w="80" w:type="dxa"/>
              <w:end w:w="120" w:type="dxa"/>
            </w:tcMar>
            <w:vAlign w:val="center"/>
          </w:tcPr>
          <w:p>
            <w:pPr>
              <w:pStyle w:val="TableText"/>
              <w:jc w:val="left"/>
            </w:pPr>
            <w:r>
              <w:t>3. Completion of priority TOR workflows</w:t>
            </w:r>
          </w:p>
        </w:tc>
        <w:tc>
          <w:tcPr>
            <w:tcW w:type="dxa" w:w="1600"/>
            <w:tcMar>
              <w:top w:w="80" w:type="dxa"/>
              <w:start w:w="120" w:type="dxa"/>
              <w:bottom w:w="80" w:type="dxa"/>
              <w:end w:w="120" w:type="dxa"/>
            </w:tcMar>
            <w:vAlign w:val="center"/>
          </w:tcPr>
          <w:p>
            <w:pPr>
              <w:pStyle w:val="TableText"/>
              <w:jc w:val="center"/>
            </w:pPr>
            <w:r>
              <w:t>Weeks 10-19</w:t>
            </w:r>
          </w:p>
        </w:tc>
        <w:tc>
          <w:tcPr>
            <w:tcW w:type="dxa" w:w="5860"/>
            <w:tcMar>
              <w:top w:w="80" w:type="dxa"/>
              <w:start w:w="120" w:type="dxa"/>
              <w:bottom w:w="80" w:type="dxa"/>
              <w:end w:w="120" w:type="dxa"/>
            </w:tcMar>
            <w:vAlign w:val="center"/>
          </w:tcPr>
          <w:p>
            <w:pPr>
              <w:pStyle w:val="TableText"/>
              <w:jc w:val="left"/>
            </w:pPr>
            <w:r>
              <w:t>Disciplinary cases, self-service requests, approval routing, activity codes, leave automation, attachments, notifications, and controlled demonstrations.</w:t>
            </w:r>
          </w:p>
        </w:tc>
      </w:tr>
      <w:tr>
        <w:trPr>
          <w:cantSplit/>
        </w:trPr>
        <w:tc>
          <w:tcPr>
            <w:tcW w:type="dxa" w:w="1900"/>
            <w:tcMar>
              <w:top w:w="80" w:type="dxa"/>
              <w:start w:w="120" w:type="dxa"/>
              <w:bottom w:w="80" w:type="dxa"/>
              <w:end w:w="120" w:type="dxa"/>
            </w:tcMar>
            <w:vAlign w:val="center"/>
          </w:tcPr>
          <w:p>
            <w:pPr>
              <w:pStyle w:val="TableText"/>
              <w:jc w:val="left"/>
            </w:pPr>
            <w:r>
              <w:t>4. Reports, security, backup, and operations</w:t>
            </w:r>
          </w:p>
        </w:tc>
        <w:tc>
          <w:tcPr>
            <w:tcW w:type="dxa" w:w="1600"/>
            <w:tcMar>
              <w:top w:w="80" w:type="dxa"/>
              <w:start w:w="120" w:type="dxa"/>
              <w:bottom w:w="80" w:type="dxa"/>
              <w:end w:w="120" w:type="dxa"/>
            </w:tcMar>
            <w:vAlign w:val="center"/>
          </w:tcPr>
          <w:p>
            <w:pPr>
              <w:pStyle w:val="TableText"/>
              <w:jc w:val="center"/>
            </w:pPr>
            <w:r>
              <w:t>Weeks 20-26</w:t>
            </w:r>
          </w:p>
        </w:tc>
        <w:tc>
          <w:tcPr>
            <w:tcW w:type="dxa" w:w="5860"/>
            <w:tcMar>
              <w:top w:w="80" w:type="dxa"/>
              <w:start w:w="120" w:type="dxa"/>
              <w:bottom w:w="80" w:type="dxa"/>
              <w:end w:w="120" w:type="dxa"/>
            </w:tcMar>
            <w:vAlign w:val="center"/>
          </w:tcPr>
          <w:p>
            <w:pPr>
              <w:pStyle w:val="TableText"/>
              <w:jc w:val="left"/>
            </w:pPr>
            <w:r>
              <w:t>Prioritized reports/forms, session configuration, log operations, automated backup, restore tooling, archival controls, and runbooks.</w:t>
            </w:r>
          </w:p>
        </w:tc>
      </w:tr>
      <w:tr>
        <w:trPr>
          <w:cantSplit/>
        </w:trPr>
        <w:tc>
          <w:tcPr>
            <w:tcW w:type="dxa" w:w="1900"/>
            <w:tcMar>
              <w:top w:w="80" w:type="dxa"/>
              <w:start w:w="120" w:type="dxa"/>
              <w:bottom w:w="80" w:type="dxa"/>
              <w:end w:w="120" w:type="dxa"/>
            </w:tcMar>
            <w:vAlign w:val="center"/>
          </w:tcPr>
          <w:p>
            <w:pPr>
              <w:pStyle w:val="TableText"/>
              <w:jc w:val="left"/>
            </w:pPr>
            <w:r>
              <w:t>5. Integration, migration rehearsal, and UAT</w:t>
            </w:r>
          </w:p>
        </w:tc>
        <w:tc>
          <w:tcPr>
            <w:tcW w:type="dxa" w:w="1600"/>
            <w:tcMar>
              <w:top w:w="80" w:type="dxa"/>
              <w:start w:w="120" w:type="dxa"/>
              <w:bottom w:w="80" w:type="dxa"/>
              <w:end w:w="120" w:type="dxa"/>
            </w:tcMar>
            <w:vAlign w:val="center"/>
          </w:tcPr>
          <w:p>
            <w:pPr>
              <w:pStyle w:val="TableText"/>
              <w:jc w:val="center"/>
            </w:pPr>
            <w:r>
              <w:t>Weeks 27-30</w:t>
            </w:r>
          </w:p>
        </w:tc>
        <w:tc>
          <w:tcPr>
            <w:tcW w:type="dxa" w:w="5860"/>
            <w:tcMar>
              <w:top w:w="80" w:type="dxa"/>
              <w:start w:w="120" w:type="dxa"/>
              <w:bottom w:w="80" w:type="dxa"/>
              <w:end w:w="120" w:type="dxa"/>
            </w:tcMar>
            <w:vAlign w:val="center"/>
          </w:tcPr>
          <w:p>
            <w:pPr>
              <w:pStyle w:val="TableText"/>
              <w:jc w:val="left"/>
            </w:pPr>
            <w:r>
              <w:t>Device/network validation, migration rehearsal, role-based UAT, defect closure, render samples, training, and readiness recommendation.</w:t>
            </w:r>
          </w:p>
        </w:tc>
      </w:tr>
      <w:tr>
        <w:trPr>
          <w:cantSplit/>
        </w:trPr>
        <w:tc>
          <w:tcPr>
            <w:tcW w:type="dxa" w:w="1900"/>
            <w:tcMar>
              <w:top w:w="80" w:type="dxa"/>
              <w:start w:w="120" w:type="dxa"/>
              <w:bottom w:w="80" w:type="dxa"/>
              <w:end w:w="120" w:type="dxa"/>
            </w:tcMar>
            <w:vAlign w:val="center"/>
          </w:tcPr>
          <w:p>
            <w:pPr>
              <w:pStyle w:val="TableText"/>
              <w:jc w:val="left"/>
            </w:pPr>
            <w:r>
              <w:t>6. Production deployment and stabilization</w:t>
            </w:r>
          </w:p>
        </w:tc>
        <w:tc>
          <w:tcPr>
            <w:tcW w:type="dxa" w:w="1600"/>
            <w:tcMar>
              <w:top w:w="80" w:type="dxa"/>
              <w:start w:w="120" w:type="dxa"/>
              <w:bottom w:w="80" w:type="dxa"/>
              <w:end w:w="120" w:type="dxa"/>
            </w:tcMar>
            <w:vAlign w:val="center"/>
          </w:tcPr>
          <w:p>
            <w:pPr>
              <w:pStyle w:val="TableText"/>
              <w:jc w:val="center"/>
            </w:pPr>
            <w:r>
              <w:t>Weeks 31-32</w:t>
            </w:r>
          </w:p>
        </w:tc>
        <w:tc>
          <w:tcPr>
            <w:tcW w:type="dxa" w:w="5860"/>
            <w:tcMar>
              <w:top w:w="80" w:type="dxa"/>
              <w:start w:w="120" w:type="dxa"/>
              <w:bottom w:w="80" w:type="dxa"/>
              <w:end w:w="120" w:type="dxa"/>
            </w:tcMar>
            <w:vAlign w:val="center"/>
          </w:tcPr>
          <w:p>
            <w:pPr>
              <w:pStyle w:val="TableText"/>
              <w:jc w:val="left"/>
            </w:pPr>
            <w:r>
              <w:t>Approved production installation, final migration, smoke tests, go-live, hypercare, acceptance evidence, and turnover.</w:t>
            </w:r>
          </w:p>
        </w:tc>
      </w:tr>
    </w:tbl>
    <w:p>
      <w:pPr>
        <w:spacing w:before="0" w:after="40"/>
      </w:pPr>
    </w:p>
    <w:p>
      <w:pPr>
        <w:pStyle w:val="Heading2"/>
      </w:pPr>
      <w:r>
        <w:t>Project governance</w:t>
      </w:r>
    </w:p>
    <w:p>
      <w:pPr>
        <w:numPr>
          <w:ilvl w:val="0"/>
          <w:numId w:val="90"/>
        </w:numPr>
        <w:spacing w:after="80" w:line="290" w:lineRule="auto"/>
      </w:pPr>
      <w:r>
        <w:rPr>
          <w:rFonts w:ascii="Calibri" w:hAnsi="Calibri" w:eastAsia="Calibri"/>
          <w:color w:val="1F2937"/>
          <w:sz w:val="22"/>
        </w:rPr>
        <w:t>Weekly implementation meeting and concise status report covering progress, next actions, risks, decisions, dependencies, and change requests.</w:t>
      </w:r>
    </w:p>
    <w:p>
      <w:pPr>
        <w:numPr>
          <w:ilvl w:val="0"/>
          <w:numId w:val="90"/>
        </w:numPr>
        <w:spacing w:after="80" w:line="290" w:lineRule="auto"/>
      </w:pPr>
      <w:r>
        <w:rPr>
          <w:rFonts w:ascii="Calibri" w:hAnsi="Calibri" w:eastAsia="Calibri"/>
          <w:color w:val="1F2937"/>
          <w:sz w:val="22"/>
        </w:rPr>
        <w:t>A single approved requirements baseline and change-control register after the Inception Report.</w:t>
      </w:r>
    </w:p>
    <w:p>
      <w:pPr>
        <w:numPr>
          <w:ilvl w:val="0"/>
          <w:numId w:val="90"/>
        </w:numPr>
        <w:spacing w:after="80" w:line="290" w:lineRule="auto"/>
      </w:pPr>
      <w:r>
        <w:rPr>
          <w:rFonts w:ascii="Calibri" w:hAnsi="Calibri" w:eastAsia="Calibri"/>
          <w:color w:val="1F2937"/>
          <w:sz w:val="22"/>
        </w:rPr>
        <w:t>Named STRH product owner, HR process owners, IT/security representatives, data owners, UAT leads, and signatories.</w:t>
      </w:r>
    </w:p>
    <w:p>
      <w:pPr>
        <w:numPr>
          <w:ilvl w:val="0"/>
          <w:numId w:val="90"/>
        </w:numPr>
        <w:spacing w:after="80" w:line="290" w:lineRule="auto"/>
      </w:pPr>
      <w:r>
        <w:rPr>
          <w:rFonts w:ascii="Calibri" w:hAnsi="Calibri" w:eastAsia="Calibri"/>
          <w:color w:val="1F2937"/>
          <w:sz w:val="22"/>
        </w:rPr>
        <w:t>Formal gates for scope approval, migration readiness, UAT entry, production readiness, go-live, and final acceptance.</w:t>
      </w:r>
    </w:p>
    <w:p>
      <w:pPr>
        <w:pStyle w:val="Heading1"/>
      </w:pPr>
      <w:r>
        <w:t>6. Data Migration, Integration, and Deployment</w:t>
      </w:r>
    </w:p>
    <w:p>
      <w:pPr>
        <w:pStyle w:val="Heading2"/>
      </w:pPr>
      <w:r>
        <w:t>6.1 Data migration</w:t>
      </w:r>
    </w:p>
    <w:p>
      <w:pPr>
        <w:numPr>
          <w:ilvl w:val="0"/>
          <w:numId w:val="91"/>
        </w:numPr>
        <w:spacing w:after="80" w:line="290" w:lineRule="auto"/>
      </w:pPr>
      <w:r>
        <w:rPr>
          <w:rFonts w:ascii="Calibri" w:hAnsi="Calibri" w:eastAsia="Calibri"/>
          <w:color w:val="1F2937"/>
          <w:sz w:val="22"/>
        </w:rPr>
        <w:t>Inventory source files, database extracts, records, codes, attachments, owners, sensitivity, and retention requirements.</w:t>
      </w:r>
    </w:p>
    <w:p>
      <w:pPr>
        <w:numPr>
          <w:ilvl w:val="0"/>
          <w:numId w:val="91"/>
        </w:numPr>
        <w:spacing w:after="80" w:line="290" w:lineRule="auto"/>
      </w:pPr>
      <w:r>
        <w:rPr>
          <w:rFonts w:ascii="Calibri" w:hAnsi="Calibri" w:eastAsia="Calibri"/>
          <w:color w:val="1F2937"/>
          <w:sz w:val="22"/>
        </w:rPr>
        <w:t>Approve the mapping specification, normalization rules, duplicate strategy, mandatory fields, and rejection handling.</w:t>
      </w:r>
    </w:p>
    <w:p>
      <w:pPr>
        <w:numPr>
          <w:ilvl w:val="0"/>
          <w:numId w:val="91"/>
        </w:numPr>
        <w:spacing w:after="80" w:line="290" w:lineRule="auto"/>
      </w:pPr>
      <w:r>
        <w:rPr>
          <w:rFonts w:ascii="Calibri" w:hAnsi="Calibri" w:eastAsia="Calibri"/>
          <w:color w:val="1F2937"/>
          <w:sz w:val="22"/>
        </w:rPr>
        <w:t>Run a non-production trial migration and issue reconciliation totals, rejected-row reports, and representative record checks.</w:t>
      </w:r>
    </w:p>
    <w:p>
      <w:pPr>
        <w:numPr>
          <w:ilvl w:val="0"/>
          <w:numId w:val="91"/>
        </w:numPr>
        <w:spacing w:after="80" w:line="290" w:lineRule="auto"/>
      </w:pPr>
      <w:r>
        <w:rPr>
          <w:rFonts w:ascii="Calibri" w:hAnsi="Calibri" w:eastAsia="Calibri"/>
          <w:color w:val="1F2937"/>
          <w:sz w:val="22"/>
        </w:rPr>
        <w:t>Obtain HR validation, correct source/mapping issues, and repeat until acceptance thresholds are met.</w:t>
      </w:r>
    </w:p>
    <w:p>
      <w:pPr>
        <w:numPr>
          <w:ilvl w:val="0"/>
          <w:numId w:val="91"/>
        </w:numPr>
        <w:spacing w:after="80" w:line="290" w:lineRule="auto"/>
      </w:pPr>
      <w:r>
        <w:rPr>
          <w:rFonts w:ascii="Calibri" w:hAnsi="Calibri" w:eastAsia="Calibri"/>
          <w:color w:val="1F2937"/>
          <w:sz w:val="22"/>
        </w:rPr>
        <w:t>Execute final migration during the approved cutover window, validate control totals, and obtain signed migration acceptance.</w:t>
      </w:r>
    </w:p>
    <w:p>
      <w:pPr>
        <w:pStyle w:val="Heading2"/>
      </w:pPr>
      <w:r>
        <w:t>6.2 Biometric integration and hardware</w:t>
      </w:r>
    </w:p>
    <w:p>
      <w:pPr>
        <w:spacing w:before="0" w:after="160"/>
      </w:pPr>
      <w:r>
        <w:rPr>
          <w:rFonts w:ascii="Calibri" w:hAnsi="Calibri" w:eastAsia="Calibri"/>
          <w:b w:val="0"/>
          <w:i w:val="0"/>
        </w:rPr>
        <w:t>The software baseline contains biometric device configuration, ADMS integration paths, synchronization, device monitoring, and attendance exception handling. Final acceptance requires testing with the actual contracted devices, STRH network segments, employee device identifiers, time settings, outages, retries, and reconciliation procedures.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00"/>
        <w:gridCol w:w="6860"/>
      </w:tblGrid>
      <w:tr>
        <w:trPr>
          <w:cantSplit/>
          <w:tblHeader w:val="true"/>
        </w:trPr>
        <w:tc>
          <w:tcPr>
            <w:tcW w:type="dxa" w:w="2500"/>
            <w:tcMar>
              <w:top w:w="80" w:type="dxa"/>
              <w:start w:w="120" w:type="dxa"/>
              <w:bottom w:w="80" w:type="dxa"/>
              <w:end w:w="120" w:type="dxa"/>
            </w:tcMar>
            <w:vAlign w:val="center"/>
            <w:shd w:fill="F4F6F9" w:val="clear"/>
          </w:tcPr>
          <w:p>
            <w:pPr>
              <w:pStyle w:val="TableHeader"/>
              <w:jc w:val="left"/>
            </w:pPr>
            <w:r>
              <w:t>Item</w:t>
            </w:r>
          </w:p>
        </w:tc>
        <w:tc>
          <w:tcPr>
            <w:tcW w:type="dxa" w:w="6860"/>
            <w:tcMar>
              <w:top w:w="80" w:type="dxa"/>
              <w:start w:w="120" w:type="dxa"/>
              <w:bottom w:w="80" w:type="dxa"/>
              <w:end w:w="120" w:type="dxa"/>
            </w:tcMar>
            <w:vAlign w:val="center"/>
            <w:shd w:fill="F4F6F9" w:val="clear"/>
          </w:tcPr>
          <w:p>
            <w:pPr>
              <w:pStyle w:val="TableHeader"/>
              <w:jc w:val="left"/>
            </w:pPr>
            <w:r>
              <w:t>Proposal treatment</w:t>
            </w:r>
          </w:p>
        </w:tc>
      </w:tr>
      <w:tr>
        <w:trPr>
          <w:cantSplit/>
        </w:trPr>
        <w:tc>
          <w:tcPr>
            <w:tcW w:type="dxa" w:w="2500"/>
            <w:tcMar>
              <w:top w:w="80" w:type="dxa"/>
              <w:start w:w="120" w:type="dxa"/>
              <w:bottom w:w="80" w:type="dxa"/>
              <w:end w:w="120" w:type="dxa"/>
            </w:tcMar>
            <w:vAlign w:val="center"/>
          </w:tcPr>
          <w:p>
            <w:pPr>
              <w:pStyle w:val="TableText"/>
              <w:jc w:val="left"/>
            </w:pPr>
            <w:r>
              <w:t>Five biometric units</w:t>
            </w:r>
          </w:p>
        </w:tc>
        <w:tc>
          <w:tcPr>
            <w:tcW w:type="dxa" w:w="6860"/>
            <w:tcMar>
              <w:top w:w="80" w:type="dxa"/>
              <w:start w:w="120" w:type="dxa"/>
              <w:bottom w:w="80" w:type="dxa"/>
              <w:end w:w="120" w:type="dxa"/>
            </w:tcMar>
            <w:vAlign w:val="center"/>
          </w:tcPr>
          <w:p>
            <w:pPr>
              <w:pStyle w:val="TableText"/>
              <w:jc w:val="left"/>
            </w:pPr>
            <w:r>
              <w:t>Included only when specified and priced in the final Bill of Quantities; model/equivalency, warranties, accessories, and delivery must be confirmed.</w:t>
            </w:r>
          </w:p>
        </w:tc>
      </w:tr>
      <w:tr>
        <w:trPr>
          <w:cantSplit/>
        </w:trPr>
        <w:tc>
          <w:tcPr>
            <w:tcW w:type="dxa" w:w="2500"/>
            <w:tcMar>
              <w:top w:w="80" w:type="dxa"/>
              <w:start w:w="120" w:type="dxa"/>
              <w:bottom w:w="80" w:type="dxa"/>
              <w:end w:w="120" w:type="dxa"/>
            </w:tcMar>
            <w:vAlign w:val="center"/>
          </w:tcPr>
          <w:p>
            <w:pPr>
              <w:pStyle w:val="TableText"/>
              <w:jc w:val="left"/>
            </w:pPr>
            <w:r>
              <w:t>Cabling and network</w:t>
            </w:r>
          </w:p>
        </w:tc>
        <w:tc>
          <w:tcPr>
            <w:tcW w:type="dxa" w:w="6860"/>
            <w:tcMar>
              <w:top w:w="80" w:type="dxa"/>
              <w:start w:w="120" w:type="dxa"/>
              <w:bottom w:w="80" w:type="dxa"/>
              <w:end w:w="120" w:type="dxa"/>
            </w:tcMar>
            <w:vAlign w:val="center"/>
          </w:tcPr>
          <w:p>
            <w:pPr>
              <w:pStyle w:val="TableText"/>
              <w:jc w:val="left"/>
            </w:pPr>
            <w:r>
              <w:t>STRH and bidder responsibilities, ports, VLAN/firewall rules, Wi-Fi/TCP/IP, power, installation points, and testing must be documented.</w:t>
            </w:r>
          </w:p>
        </w:tc>
      </w:tr>
      <w:tr>
        <w:trPr>
          <w:cantSplit/>
        </w:trPr>
        <w:tc>
          <w:tcPr>
            <w:tcW w:type="dxa" w:w="2500"/>
            <w:tcMar>
              <w:top w:w="80" w:type="dxa"/>
              <w:start w:w="120" w:type="dxa"/>
              <w:bottom w:w="80" w:type="dxa"/>
              <w:end w:w="120" w:type="dxa"/>
            </w:tcMar>
            <w:vAlign w:val="center"/>
          </w:tcPr>
          <w:p>
            <w:pPr>
              <w:pStyle w:val="TableText"/>
              <w:jc w:val="left"/>
            </w:pPr>
            <w:r>
              <w:t>Employee mapping</w:t>
            </w:r>
          </w:p>
        </w:tc>
        <w:tc>
          <w:tcPr>
            <w:tcW w:type="dxa" w:w="6860"/>
            <w:tcMar>
              <w:top w:w="80" w:type="dxa"/>
              <w:start w:w="120" w:type="dxa"/>
              <w:bottom w:w="80" w:type="dxa"/>
              <w:end w:w="120" w:type="dxa"/>
            </w:tcMar>
            <w:vAlign w:val="center"/>
          </w:tcPr>
          <w:p>
            <w:pPr>
              <w:pStyle w:val="TableText"/>
              <w:jc w:val="left"/>
            </w:pPr>
            <w:r>
              <w:t>STRH will provide or validate the mapping between HR employee identifiers and biometric user identifiers.</w:t>
            </w:r>
          </w:p>
        </w:tc>
      </w:tr>
      <w:tr>
        <w:trPr>
          <w:cantSplit/>
        </w:trPr>
        <w:tc>
          <w:tcPr>
            <w:tcW w:type="dxa" w:w="2500"/>
            <w:tcMar>
              <w:top w:w="80" w:type="dxa"/>
              <w:start w:w="120" w:type="dxa"/>
              <w:bottom w:w="80" w:type="dxa"/>
              <w:end w:w="120" w:type="dxa"/>
            </w:tcMar>
            <w:vAlign w:val="center"/>
          </w:tcPr>
          <w:p>
            <w:pPr>
              <w:pStyle w:val="TableText"/>
              <w:jc w:val="left"/>
            </w:pPr>
            <w:r>
              <w:t>Exception reconciliation</w:t>
            </w:r>
          </w:p>
        </w:tc>
        <w:tc>
          <w:tcPr>
            <w:tcW w:type="dxa" w:w="6860"/>
            <w:tcMar>
              <w:top w:w="80" w:type="dxa"/>
              <w:start w:w="120" w:type="dxa"/>
              <w:bottom w:w="80" w:type="dxa"/>
              <w:end w:w="120" w:type="dxa"/>
            </w:tcMar>
            <w:vAlign w:val="center"/>
          </w:tcPr>
          <w:p>
            <w:pPr>
              <w:pStyle w:val="TableText"/>
              <w:jc w:val="left"/>
            </w:pPr>
            <w:r>
              <w:t>Unmatched or invalid punches will be quarantined, reviewed, mapped, reprocessed, and reported rather than silently discarded.</w:t>
            </w:r>
          </w:p>
        </w:tc>
      </w:tr>
    </w:tbl>
    <w:p>
      <w:pPr>
        <w:spacing w:before="0" w:after="40"/>
      </w:pPr>
    </w:p>
    <w:p>
      <w:pPr>
        <w:pStyle w:val="Heading2"/>
      </w:pPr>
      <w:r>
        <w:t>6.3 Production deployment</w:t>
      </w:r>
    </w:p>
    <w:p>
      <w:pPr>
        <w:numPr>
          <w:ilvl w:val="0"/>
          <w:numId w:val="90"/>
        </w:numPr>
        <w:spacing w:after="80" w:line="290" w:lineRule="auto"/>
      </w:pPr>
      <w:r>
        <w:rPr>
          <w:rFonts w:ascii="Calibri" w:hAnsi="Calibri" w:eastAsia="Calibri"/>
          <w:color w:val="1F2937"/>
          <w:sz w:val="22"/>
        </w:rPr>
        <w:t>Approved production topology, server sizing, operating system, database, reverse proxy, domain, SSL certificate, firewall, storage, and administrative access.</w:t>
      </w:r>
    </w:p>
    <w:p>
      <w:pPr>
        <w:numPr>
          <w:ilvl w:val="0"/>
          <w:numId w:val="90"/>
        </w:numPr>
        <w:spacing w:after="80" w:line="290" w:lineRule="auto"/>
      </w:pPr>
      <w:r>
        <w:rPr>
          <w:rFonts w:ascii="Calibri" w:hAnsi="Calibri" w:eastAsia="Calibri"/>
          <w:color w:val="1F2937"/>
          <w:sz w:val="22"/>
        </w:rPr>
        <w:t>Versioned configuration and secrets management without embedding production credentials in source code or documents.</w:t>
      </w:r>
    </w:p>
    <w:p>
      <w:pPr>
        <w:numPr>
          <w:ilvl w:val="0"/>
          <w:numId w:val="90"/>
        </w:numPr>
        <w:spacing w:after="80" w:line="290" w:lineRule="auto"/>
      </w:pPr>
      <w:r>
        <w:rPr>
          <w:rFonts w:ascii="Calibri" w:hAnsi="Calibri" w:eastAsia="Calibri"/>
          <w:color w:val="1F2937"/>
          <w:sz w:val="22"/>
        </w:rPr>
        <w:t>Deterministic database migrations, deployment checklist, health checks, export dependency checks, rollback plan, and configuration backup.</w:t>
      </w:r>
    </w:p>
    <w:p>
      <w:pPr>
        <w:numPr>
          <w:ilvl w:val="0"/>
          <w:numId w:val="90"/>
        </w:numPr>
        <w:spacing w:after="80" w:line="290" w:lineRule="auto"/>
      </w:pPr>
      <w:r>
        <w:rPr>
          <w:rFonts w:ascii="Calibri" w:hAnsi="Calibri" w:eastAsia="Calibri"/>
          <w:color w:val="1F2937"/>
          <w:sz w:val="22"/>
        </w:rPr>
        <w:t>Monitoring for availability, errors, backup outcomes, storage, resource usage, and security events.</w:t>
      </w:r>
    </w:p>
    <w:p>
      <w:pPr>
        <w:numPr>
          <w:ilvl w:val="0"/>
          <w:numId w:val="90"/>
        </w:numPr>
        <w:spacing w:after="80" w:line="290" w:lineRule="auto"/>
      </w:pPr>
      <w:r>
        <w:rPr>
          <w:rFonts w:ascii="Calibri" w:hAnsi="Calibri" w:eastAsia="Calibri"/>
          <w:color w:val="1F2937"/>
          <w:sz w:val="22"/>
        </w:rPr>
        <w:t>Cutover, smoke testing, go-live authorization, and stabilization support with named escalation contacts.</w:t>
      </w:r>
    </w:p>
    <w:p>
      <w:pPr>
        <w:pStyle w:val="Heading1"/>
      </w:pPr>
      <w:r>
        <w:t>7. Testing, Acceptance, and Quality Assurance</w:t>
      </w:r>
    </w:p>
    <w:p>
      <w:pPr>
        <w:spacing w:before="0" w:after="160"/>
      </w:pPr>
      <w:r>
        <w:rPr>
          <w:rFonts w:ascii="Calibri" w:hAnsi="Calibri" w:eastAsia="Calibri"/>
          <w:b w:val="0"/>
          <w:i w:val="0"/>
        </w:rPr>
        <w:t>Build success alone is not acceptance. The project will use traceable requirements, controlled test data, role-based scenarios, output validation, data reconciliation, security checks, and documented defect closure.</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500"/>
        <w:gridCol w:w="6860"/>
      </w:tblGrid>
      <w:tr>
        <w:trPr>
          <w:cantSplit/>
          <w:tblHeader w:val="true"/>
        </w:trPr>
        <w:tc>
          <w:tcPr>
            <w:tcW w:type="dxa" w:w="2500"/>
            <w:tcMar>
              <w:top w:w="80" w:type="dxa"/>
              <w:start w:w="120" w:type="dxa"/>
              <w:bottom w:w="80" w:type="dxa"/>
              <w:end w:w="120" w:type="dxa"/>
            </w:tcMar>
            <w:vAlign w:val="center"/>
            <w:shd w:fill="F4F6F9" w:val="clear"/>
          </w:tcPr>
          <w:p>
            <w:pPr>
              <w:pStyle w:val="TableHeader"/>
              <w:jc w:val="left"/>
            </w:pPr>
            <w:r>
              <w:t>Test level</w:t>
            </w:r>
          </w:p>
        </w:tc>
        <w:tc>
          <w:tcPr>
            <w:tcW w:type="dxa" w:w="6860"/>
            <w:tcMar>
              <w:top w:w="80" w:type="dxa"/>
              <w:start w:w="120" w:type="dxa"/>
              <w:bottom w:w="80" w:type="dxa"/>
              <w:end w:w="120" w:type="dxa"/>
            </w:tcMar>
            <w:vAlign w:val="center"/>
            <w:shd w:fill="F4F6F9" w:val="clear"/>
          </w:tcPr>
          <w:p>
            <w:pPr>
              <w:pStyle w:val="TableHeader"/>
              <w:jc w:val="left"/>
            </w:pPr>
            <w:r>
              <w:t>Minimum coverage</w:t>
            </w:r>
          </w:p>
        </w:tc>
      </w:tr>
      <w:tr>
        <w:trPr>
          <w:cantSplit/>
        </w:trPr>
        <w:tc>
          <w:tcPr>
            <w:tcW w:type="dxa" w:w="2500"/>
            <w:tcMar>
              <w:top w:w="80" w:type="dxa"/>
              <w:start w:w="120" w:type="dxa"/>
              <w:bottom w:w="80" w:type="dxa"/>
              <w:end w:w="120" w:type="dxa"/>
            </w:tcMar>
            <w:vAlign w:val="center"/>
          </w:tcPr>
          <w:p>
            <w:pPr>
              <w:pStyle w:val="TableText"/>
              <w:jc w:val="left"/>
            </w:pPr>
            <w:r>
              <w:t>Automated regression</w:t>
            </w:r>
          </w:p>
        </w:tc>
        <w:tc>
          <w:tcPr>
            <w:tcW w:type="dxa" w:w="6860"/>
            <w:tcMar>
              <w:top w:w="80" w:type="dxa"/>
              <w:start w:w="120" w:type="dxa"/>
              <w:bottom w:w="80" w:type="dxa"/>
              <w:end w:w="120" w:type="dxa"/>
            </w:tcMar>
            <w:vAlign w:val="center"/>
          </w:tcPr>
          <w:p>
            <w:pPr>
              <w:pStyle w:val="TableText"/>
              <w:jc w:val="left"/>
            </w:pPr>
            <w:r>
              <w:t>Authentication, permissions, employee ownership, attendance locks/import exceptions, leave ledger math, personnel movement posting/reversal, migration checks, exports, and backup/restore controls.</w:t>
            </w:r>
          </w:p>
        </w:tc>
      </w:tr>
      <w:tr>
        <w:trPr>
          <w:cantSplit/>
        </w:trPr>
        <w:tc>
          <w:tcPr>
            <w:tcW w:type="dxa" w:w="2500"/>
            <w:tcMar>
              <w:top w:w="80" w:type="dxa"/>
              <w:start w:w="120" w:type="dxa"/>
              <w:bottom w:w="80" w:type="dxa"/>
              <w:end w:w="120" w:type="dxa"/>
            </w:tcMar>
            <w:vAlign w:val="center"/>
          </w:tcPr>
          <w:p>
            <w:pPr>
              <w:pStyle w:val="TableText"/>
              <w:jc w:val="left"/>
            </w:pPr>
            <w:r>
              <w:t>System integration</w:t>
            </w:r>
          </w:p>
        </w:tc>
        <w:tc>
          <w:tcPr>
            <w:tcW w:type="dxa" w:w="6860"/>
            <w:tcMar>
              <w:top w:w="80" w:type="dxa"/>
              <w:start w:w="120" w:type="dxa"/>
              <w:bottom w:w="80" w:type="dxa"/>
              <w:end w:w="120" w:type="dxa"/>
            </w:tcMar>
            <w:vAlign w:val="center"/>
          </w:tcPr>
          <w:p>
            <w:pPr>
              <w:pStyle w:val="TableText"/>
              <w:jc w:val="left"/>
            </w:pPr>
            <w:r>
              <w:t>Database, biometric devices, network, email where approved, file imports, document generation, and production dependencies.</w:t>
            </w:r>
          </w:p>
        </w:tc>
      </w:tr>
      <w:tr>
        <w:trPr>
          <w:cantSplit/>
        </w:trPr>
        <w:tc>
          <w:tcPr>
            <w:tcW w:type="dxa" w:w="2500"/>
            <w:tcMar>
              <w:top w:w="80" w:type="dxa"/>
              <w:start w:w="120" w:type="dxa"/>
              <w:bottom w:w="80" w:type="dxa"/>
              <w:end w:w="120" w:type="dxa"/>
            </w:tcMar>
            <w:vAlign w:val="center"/>
          </w:tcPr>
          <w:p>
            <w:pPr>
              <w:pStyle w:val="TableText"/>
              <w:jc w:val="left"/>
            </w:pPr>
            <w:r>
              <w:t>Security and privacy</w:t>
            </w:r>
          </w:p>
        </w:tc>
        <w:tc>
          <w:tcPr>
            <w:tcW w:type="dxa" w:w="6860"/>
            <w:tcMar>
              <w:top w:w="80" w:type="dxa"/>
              <w:start w:w="120" w:type="dxa"/>
              <w:bottom w:w="80" w:type="dxa"/>
              <w:end w:w="120" w:type="dxa"/>
            </w:tcMar>
            <w:vAlign w:val="center"/>
          </w:tcPr>
          <w:p>
            <w:pPr>
              <w:pStyle w:val="TableText"/>
              <w:jc w:val="left"/>
            </w:pPr>
            <w:r>
              <w:t>Role/action matrix, direct API authorization, session behavior, sensitive exports, attachments, audit coverage, configuration, vulnerability review, and backup access.</w:t>
            </w:r>
          </w:p>
        </w:tc>
      </w:tr>
      <w:tr>
        <w:trPr>
          <w:cantSplit/>
        </w:trPr>
        <w:tc>
          <w:tcPr>
            <w:tcW w:type="dxa" w:w="2500"/>
            <w:tcMar>
              <w:top w:w="80" w:type="dxa"/>
              <w:start w:w="120" w:type="dxa"/>
              <w:bottom w:w="80" w:type="dxa"/>
              <w:end w:w="120" w:type="dxa"/>
            </w:tcMar>
            <w:vAlign w:val="center"/>
          </w:tcPr>
          <w:p>
            <w:pPr>
              <w:pStyle w:val="TableText"/>
              <w:jc w:val="left"/>
            </w:pPr>
            <w:r>
              <w:t>Migration validation</w:t>
            </w:r>
          </w:p>
        </w:tc>
        <w:tc>
          <w:tcPr>
            <w:tcW w:type="dxa" w:w="6860"/>
            <w:tcMar>
              <w:top w:w="80" w:type="dxa"/>
              <w:start w:w="120" w:type="dxa"/>
              <w:bottom w:w="80" w:type="dxa"/>
              <w:end w:w="120" w:type="dxa"/>
            </w:tcMar>
            <w:vAlign w:val="center"/>
          </w:tcPr>
          <w:p>
            <w:pPr>
              <w:pStyle w:val="TableText"/>
              <w:jc w:val="left"/>
            </w:pPr>
            <w:r>
              <w:t>Source-to-target counts, required fields, duplicates, rejected records, reference mapping, balances, history, and signed samples.</w:t>
            </w:r>
          </w:p>
        </w:tc>
      </w:tr>
      <w:tr>
        <w:trPr>
          <w:cantSplit/>
        </w:trPr>
        <w:tc>
          <w:tcPr>
            <w:tcW w:type="dxa" w:w="2500"/>
            <w:tcMar>
              <w:top w:w="80" w:type="dxa"/>
              <w:start w:w="120" w:type="dxa"/>
              <w:bottom w:w="80" w:type="dxa"/>
              <w:end w:w="120" w:type="dxa"/>
            </w:tcMar>
            <w:vAlign w:val="center"/>
          </w:tcPr>
          <w:p>
            <w:pPr>
              <w:pStyle w:val="TableText"/>
              <w:jc w:val="left"/>
            </w:pPr>
            <w:r>
              <w:t>User acceptance</w:t>
            </w:r>
          </w:p>
        </w:tc>
        <w:tc>
          <w:tcPr>
            <w:tcW w:type="dxa" w:w="6860"/>
            <w:tcMar>
              <w:top w:w="80" w:type="dxa"/>
              <w:start w:w="120" w:type="dxa"/>
              <w:bottom w:w="80" w:type="dxa"/>
              <w:end w:w="120" w:type="dxa"/>
            </w:tcMar>
            <w:vAlign w:val="center"/>
          </w:tcPr>
          <w:p>
            <w:pPr>
              <w:pStyle w:val="TableText"/>
              <w:jc w:val="left"/>
            </w:pPr>
            <w:r>
              <w:t>HR, Approver, Administrator, Viewer, Employee, and IT scenarios using approved data, forms, devices, calculations, reports, and exception cases.</w:t>
            </w:r>
          </w:p>
        </w:tc>
      </w:tr>
      <w:tr>
        <w:trPr>
          <w:cantSplit/>
        </w:trPr>
        <w:tc>
          <w:tcPr>
            <w:tcW w:type="dxa" w:w="2500"/>
            <w:tcMar>
              <w:top w:w="80" w:type="dxa"/>
              <w:start w:w="120" w:type="dxa"/>
              <w:bottom w:w="80" w:type="dxa"/>
              <w:end w:w="120" w:type="dxa"/>
            </w:tcMar>
            <w:vAlign w:val="center"/>
          </w:tcPr>
          <w:p>
            <w:pPr>
              <w:pStyle w:val="TableText"/>
              <w:jc w:val="left"/>
            </w:pPr>
            <w:r>
              <w:t>Operational readiness</w:t>
            </w:r>
          </w:p>
        </w:tc>
        <w:tc>
          <w:tcPr>
            <w:tcW w:type="dxa" w:w="6860"/>
            <w:tcMar>
              <w:top w:w="80" w:type="dxa"/>
              <w:start w:w="120" w:type="dxa"/>
              <w:bottom w:w="80" w:type="dxa"/>
              <w:end w:w="120" w:type="dxa"/>
            </w:tcMar>
            <w:vAlign w:val="center"/>
          </w:tcPr>
          <w:p>
            <w:pPr>
              <w:pStyle w:val="TableText"/>
              <w:jc w:val="left"/>
            </w:pPr>
            <w:r>
              <w:t>Installation, restart, monitoring, backup, restore, fail/retry, troubleshooting, escalation, rollback, and knowledge-transfer exercises.</w:t>
            </w:r>
          </w:p>
        </w:tc>
      </w:tr>
    </w:tbl>
    <w:p>
      <w:pPr>
        <w:spacing w:before="0" w:after="40"/>
      </w:pPr>
    </w:p>
    <w:p>
      <w:pPr>
        <w:pStyle w:val="Heading2"/>
      </w:pPr>
      <w:r>
        <w:t>Acceptance principle</w:t>
      </w:r>
    </w:p>
    <w:tbl>
      <w:tblPr>
        <w:tblW w:type="dxa" w:w="9360"/>
        <w:jc w:val="left"/>
        <w:tblLayout w:type="fixed"/>
        <w:tblLook w:firstColumn="1" w:firstRow="1" w:lastColumn="0" w:lastRow="0" w:noHBand="0" w:noVBand="1" w:val="04A0"/>
        <w:tblInd w:w="120" w:type="dxa"/>
        <w:tblBorders>
          <w:top w:val="single" w:sz="6" w:space="0" w:color="C9D8EB"/>
          <w:left w:val="single" w:sz="6" w:space="0" w:color="C9D8EB"/>
          <w:bottom w:val="single" w:sz="6" w:space="0" w:color="C9D8EB"/>
          <w:right w:val="single" w:sz="6" w:space="0" w:color="C9D8EB"/>
          <w:insideH w:val="single" w:sz="6" w:space="0" w:color="C9D8EB"/>
          <w:insideV w:val="single" w:sz="6" w:space="0" w:color="C9D8EB"/>
        </w:tblBorders>
      </w:tblPr>
      <w:tblGrid>
        <w:gridCol w:w="9360"/>
      </w:tblGrid>
      <w:tr>
        <w:trPr>
          <w:cantSplit/>
        </w:trPr>
        <w:tc>
          <w:tcPr>
            <w:tcW w:type="dxa" w:w="9360"/>
            <w:tcMar>
              <w:top w:w="80" w:type="dxa"/>
              <w:start w:w="120" w:type="dxa"/>
              <w:bottom w:w="80" w:type="dxa"/>
              <w:end w:w="120" w:type="dxa"/>
            </w:tcMar>
            <w:vAlign w:val="center"/>
            <w:shd w:fill="EEF4FB" w:val="clear"/>
          </w:tcPr>
          <w:p>
            <w:pPr>
              <w:pStyle w:val="Callout"/>
            </w:pPr>
            <w:r>
              <w:rPr>
                <w:rFonts w:ascii="Calibri" w:hAnsi="Calibri" w:eastAsia="Calibri"/>
                <w:b/>
                <w:color w:val="1F4D78"/>
                <w:sz w:val="21"/>
              </w:rPr>
              <w:t xml:space="preserve">Definition of done: </w:t>
            </w:r>
            <w:r>
              <w:rPr>
                <w:rFonts w:ascii="Calibri" w:hAnsi="Calibri" w:eastAsia="Calibri"/>
                <w:color w:val="1F4D78"/>
                <w:sz w:val="21"/>
              </w:rPr>
              <w:t>A requirement is complete only when its agreed implementation, permission controls, validation, audit behavior, output, documentation, and UAT evidence are accepted. A screen, route, or placeholder is not sufficient evidence of completion.</w:t>
            </w:r>
          </w:p>
        </w:tc>
      </w:tr>
    </w:tbl>
    <w:p>
      <w:pPr>
        <w:spacing w:before="0" w:after="60"/>
      </w:pPr>
    </w:p>
    <w:p>
      <w:pPr>
        <w:pStyle w:val="Heading1"/>
      </w:pPr>
      <w:r>
        <w:t>8. Training, Documentation, Support, and Warranty</w:t>
      </w:r>
    </w:p>
    <w:p>
      <w:pPr>
        <w:pStyle w:val="Heading2"/>
      </w:pPr>
      <w:r>
        <w:t>8.1 Training and knowledge transfer</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800"/>
        <w:gridCol w:w="6560"/>
      </w:tblGrid>
      <w:tr>
        <w:trPr>
          <w:cantSplit/>
          <w:tblHeader w:val="true"/>
        </w:trPr>
        <w:tc>
          <w:tcPr>
            <w:tcW w:type="dxa" w:w="2800"/>
            <w:tcMar>
              <w:top w:w="80" w:type="dxa"/>
              <w:start w:w="120" w:type="dxa"/>
              <w:bottom w:w="80" w:type="dxa"/>
              <w:end w:w="120" w:type="dxa"/>
            </w:tcMar>
            <w:vAlign w:val="center"/>
            <w:shd w:fill="F4F6F9" w:val="clear"/>
          </w:tcPr>
          <w:p>
            <w:pPr>
              <w:pStyle w:val="TableHeader"/>
              <w:jc w:val="left"/>
            </w:pPr>
            <w:r>
              <w:t>Audience</w:t>
            </w:r>
          </w:p>
        </w:tc>
        <w:tc>
          <w:tcPr>
            <w:tcW w:type="dxa" w:w="6560"/>
            <w:tcMar>
              <w:top w:w="80" w:type="dxa"/>
              <w:start w:w="120" w:type="dxa"/>
              <w:bottom w:w="80" w:type="dxa"/>
              <w:end w:w="120" w:type="dxa"/>
            </w:tcMar>
            <w:vAlign w:val="center"/>
            <w:shd w:fill="F4F6F9" w:val="clear"/>
          </w:tcPr>
          <w:p>
            <w:pPr>
              <w:pStyle w:val="TableHeader"/>
              <w:jc w:val="left"/>
            </w:pPr>
            <w:r>
              <w:t>Proposed coverage</w:t>
            </w:r>
          </w:p>
        </w:tc>
      </w:tr>
      <w:tr>
        <w:trPr>
          <w:cantSplit/>
        </w:trPr>
        <w:tc>
          <w:tcPr>
            <w:tcW w:type="dxa" w:w="2800"/>
            <w:tcMar>
              <w:top w:w="80" w:type="dxa"/>
              <w:start w:w="120" w:type="dxa"/>
              <w:bottom w:w="80" w:type="dxa"/>
              <w:end w:w="120" w:type="dxa"/>
            </w:tcMar>
            <w:vAlign w:val="center"/>
          </w:tcPr>
          <w:p>
            <w:pPr>
              <w:pStyle w:val="TableText"/>
              <w:jc w:val="left"/>
            </w:pPr>
            <w:r>
              <w:t>STRH IT Division</w:t>
            </w:r>
          </w:p>
        </w:tc>
        <w:tc>
          <w:tcPr>
            <w:tcW w:type="dxa" w:w="6560"/>
            <w:tcMar>
              <w:top w:w="80" w:type="dxa"/>
              <w:start w:w="120" w:type="dxa"/>
              <w:bottom w:w="80" w:type="dxa"/>
              <w:end w:w="120" w:type="dxa"/>
            </w:tcMar>
            <w:vAlign w:val="center"/>
          </w:tcPr>
          <w:p>
            <w:pPr>
              <w:pStyle w:val="TableText"/>
              <w:jc w:val="left"/>
            </w:pPr>
            <w:r>
              <w:t>Architecture, deployment, configuration, database basics, backup/restore, monitoring, security, troubleshooting, logs, escalation, and controlled maintenance.</w:t>
            </w:r>
          </w:p>
        </w:tc>
      </w:tr>
      <w:tr>
        <w:trPr>
          <w:cantSplit/>
        </w:trPr>
        <w:tc>
          <w:tcPr>
            <w:tcW w:type="dxa" w:w="2800"/>
            <w:tcMar>
              <w:top w:w="80" w:type="dxa"/>
              <w:start w:w="120" w:type="dxa"/>
              <w:bottom w:w="80" w:type="dxa"/>
              <w:end w:w="120" w:type="dxa"/>
            </w:tcMar>
            <w:vAlign w:val="center"/>
          </w:tcPr>
          <w:p>
            <w:pPr>
              <w:pStyle w:val="TableText"/>
              <w:jc w:val="left"/>
            </w:pPr>
            <w:r>
              <w:t>Global / Super Administrator</w:t>
            </w:r>
          </w:p>
        </w:tc>
        <w:tc>
          <w:tcPr>
            <w:tcW w:type="dxa" w:w="6560"/>
            <w:tcMar>
              <w:top w:w="80" w:type="dxa"/>
              <w:start w:w="120" w:type="dxa"/>
              <w:bottom w:w="80" w:type="dxa"/>
              <w:end w:w="120" w:type="dxa"/>
            </w:tcMar>
            <w:vAlign w:val="center"/>
          </w:tcPr>
          <w:p>
            <w:pPr>
              <w:pStyle w:val="TableText"/>
              <w:jc w:val="left"/>
            </w:pPr>
            <w:r>
              <w:t>Users, roles, permissions, settings, references, audit, errors, accounts, sessions, backup operations, and security responsibilities.</w:t>
            </w:r>
          </w:p>
        </w:tc>
      </w:tr>
      <w:tr>
        <w:trPr>
          <w:cantSplit/>
        </w:trPr>
        <w:tc>
          <w:tcPr>
            <w:tcW w:type="dxa" w:w="2800"/>
            <w:tcMar>
              <w:top w:w="80" w:type="dxa"/>
              <w:start w:w="120" w:type="dxa"/>
              <w:bottom w:w="80" w:type="dxa"/>
              <w:end w:w="120" w:type="dxa"/>
            </w:tcMar>
            <w:vAlign w:val="center"/>
          </w:tcPr>
          <w:p>
            <w:pPr>
              <w:pStyle w:val="TableText"/>
              <w:jc w:val="left"/>
            </w:pPr>
            <w:r>
              <w:t>HRD System Administrator and HR users</w:t>
            </w:r>
          </w:p>
        </w:tc>
        <w:tc>
          <w:tcPr>
            <w:tcW w:type="dxa" w:w="6560"/>
            <w:tcMar>
              <w:top w:w="80" w:type="dxa"/>
              <w:start w:w="120" w:type="dxa"/>
              <w:bottom w:w="80" w:type="dxa"/>
              <w:end w:w="120" w:type="dxa"/>
            </w:tcMar>
            <w:vAlign w:val="center"/>
          </w:tcPr>
          <w:p>
            <w:pPr>
              <w:pStyle w:val="TableText"/>
              <w:jc w:val="left"/>
            </w:pPr>
            <w:r>
              <w:t>Employee/201, Plantilla, movements, service records, attendance, leave, approvals, reports, correction/reversal, and operational controls.</w:t>
            </w:r>
          </w:p>
        </w:tc>
      </w:tr>
      <w:tr>
        <w:trPr>
          <w:cantSplit/>
        </w:trPr>
        <w:tc>
          <w:tcPr>
            <w:tcW w:type="dxa" w:w="2800"/>
            <w:tcMar>
              <w:top w:w="80" w:type="dxa"/>
              <w:start w:w="120" w:type="dxa"/>
              <w:bottom w:w="80" w:type="dxa"/>
              <w:end w:w="120" w:type="dxa"/>
            </w:tcMar>
            <w:vAlign w:val="center"/>
          </w:tcPr>
          <w:p>
            <w:pPr>
              <w:pStyle w:val="TableText"/>
              <w:jc w:val="left"/>
            </w:pPr>
            <w:r>
              <w:t>Approvers and supervisors</w:t>
            </w:r>
          </w:p>
        </w:tc>
        <w:tc>
          <w:tcPr>
            <w:tcW w:type="dxa" w:w="6560"/>
            <w:tcMar>
              <w:top w:w="80" w:type="dxa"/>
              <w:start w:w="120" w:type="dxa"/>
              <w:bottom w:w="80" w:type="dxa"/>
              <w:end w:w="120" w:type="dxa"/>
            </w:tcMar>
            <w:vAlign w:val="center"/>
          </w:tcPr>
          <w:p>
            <w:pPr>
              <w:pStyle w:val="TableText"/>
              <w:jc w:val="left"/>
            </w:pPr>
            <w:r>
              <w:t>Assigned approvals, recommendations, certification, decisions, delegation, notifications, and accountability.</w:t>
            </w:r>
          </w:p>
        </w:tc>
      </w:tr>
      <w:tr>
        <w:trPr>
          <w:cantSplit/>
        </w:trPr>
        <w:tc>
          <w:tcPr>
            <w:tcW w:type="dxa" w:w="2800"/>
            <w:tcMar>
              <w:top w:w="80" w:type="dxa"/>
              <w:start w:w="120" w:type="dxa"/>
              <w:bottom w:w="80" w:type="dxa"/>
              <w:end w:w="120" w:type="dxa"/>
            </w:tcMar>
            <w:vAlign w:val="center"/>
          </w:tcPr>
          <w:p>
            <w:pPr>
              <w:pStyle w:val="TableText"/>
              <w:jc w:val="left"/>
            </w:pPr>
            <w:r>
              <w:t>End users</w:t>
            </w:r>
          </w:p>
        </w:tc>
        <w:tc>
          <w:tcPr>
            <w:tcW w:type="dxa" w:w="6560"/>
            <w:tcMar>
              <w:top w:w="80" w:type="dxa"/>
              <w:start w:w="120" w:type="dxa"/>
              <w:bottom w:w="80" w:type="dxa"/>
              <w:end w:w="120" w:type="dxa"/>
            </w:tcMar>
            <w:vAlign w:val="center"/>
          </w:tcPr>
          <w:p>
            <w:pPr>
              <w:pStyle w:val="TableText"/>
              <w:jc w:val="left"/>
            </w:pPr>
            <w:r>
              <w:t>Four batches covering login, profile, self-service, attendance, leave, requests, forms, password management, privacy, and issue reporting.</w:t>
            </w:r>
          </w:p>
        </w:tc>
      </w:tr>
    </w:tbl>
    <w:p>
      <w:pPr>
        <w:spacing w:before="0" w:after="40"/>
      </w:pPr>
    </w:p>
    <w:p>
      <w:pPr>
        <w:pStyle w:val="Heading2"/>
      </w:pPr>
      <w:r>
        <w:t>8.2 Documentation set</w:t>
      </w:r>
    </w:p>
    <w:p>
      <w:pPr>
        <w:numPr>
          <w:ilvl w:val="0"/>
          <w:numId w:val="90"/>
        </w:numPr>
        <w:spacing w:after="80" w:line="290" w:lineRule="auto"/>
      </w:pPr>
      <w:r>
        <w:rPr>
          <w:rFonts w:ascii="Calibri" w:hAnsi="Calibri" w:eastAsia="Calibri"/>
          <w:color w:val="1F2937"/>
          <w:sz w:val="22"/>
        </w:rPr>
        <w:t>Approved Inception Report and requirements/compliance matrix.</w:t>
      </w:r>
    </w:p>
    <w:p>
      <w:pPr>
        <w:numPr>
          <w:ilvl w:val="0"/>
          <w:numId w:val="90"/>
        </w:numPr>
        <w:spacing w:after="80" w:line="290" w:lineRule="auto"/>
      </w:pPr>
      <w:r>
        <w:rPr>
          <w:rFonts w:ascii="Calibri" w:hAnsi="Calibri" w:eastAsia="Calibri"/>
          <w:color w:val="1F2937"/>
          <w:sz w:val="22"/>
        </w:rPr>
        <w:t>User manual, operations manual, administrator manual, technical documentation, policies/procedures, FAQ, and quick-reference guides.</w:t>
      </w:r>
    </w:p>
    <w:p>
      <w:pPr>
        <w:numPr>
          <w:ilvl w:val="0"/>
          <w:numId w:val="90"/>
        </w:numPr>
        <w:spacing w:after="80" w:line="290" w:lineRule="auto"/>
      </w:pPr>
      <w:r>
        <w:rPr>
          <w:rFonts w:ascii="Calibri" w:hAnsi="Calibri" w:eastAsia="Calibri"/>
          <w:color w:val="1F2937"/>
          <w:sz w:val="22"/>
        </w:rPr>
        <w:t>Architecture, data dictionary, integration specifications, configuration register, migration mapping, report catalog, and deployment runbook.</w:t>
      </w:r>
    </w:p>
    <w:p>
      <w:pPr>
        <w:numPr>
          <w:ilvl w:val="0"/>
          <w:numId w:val="90"/>
        </w:numPr>
        <w:spacing w:after="80" w:line="290" w:lineRule="auto"/>
      </w:pPr>
      <w:r>
        <w:rPr>
          <w:rFonts w:ascii="Calibri" w:hAnsi="Calibri" w:eastAsia="Calibri"/>
          <w:color w:val="1F2937"/>
          <w:sz w:val="22"/>
        </w:rPr>
        <w:t>Backup/restore, monitoring, troubleshooting, escalation, release, rollback, retention, and security procedures.</w:t>
      </w:r>
    </w:p>
    <w:p>
      <w:pPr>
        <w:numPr>
          <w:ilvl w:val="0"/>
          <w:numId w:val="90"/>
        </w:numPr>
        <w:spacing w:after="80" w:line="290" w:lineRule="auto"/>
      </w:pPr>
      <w:r>
        <w:rPr>
          <w:rFonts w:ascii="Calibri" w:hAnsi="Calibri" w:eastAsia="Calibri"/>
          <w:color w:val="1F2937"/>
          <w:sz w:val="22"/>
        </w:rPr>
        <w:t>Test plan, UAT scripts, defect register, training records, acceptance evidence, and turnover inventory.</w:t>
      </w:r>
    </w:p>
    <w:p>
      <w:pPr>
        <w:numPr>
          <w:ilvl w:val="0"/>
          <w:numId w:val="90"/>
        </w:numPr>
        <w:spacing w:after="80" w:line="290" w:lineRule="auto"/>
      </w:pPr>
      <w:r>
        <w:rPr>
          <w:rFonts w:ascii="Calibri" w:hAnsi="Calibri" w:eastAsia="Calibri"/>
          <w:color w:val="1F2937"/>
          <w:sz w:val="22"/>
        </w:rPr>
        <w:t>Three hard and soft copies where required by the final contract, with controlled electronic source files.</w:t>
      </w:r>
    </w:p>
    <w:p>
      <w:pPr>
        <w:pStyle w:val="Heading2"/>
      </w:pPr>
      <w:r>
        <w:t>8.3 Support and service levels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850"/>
        <w:gridCol w:w="1950"/>
        <w:gridCol w:w="4560"/>
      </w:tblGrid>
      <w:tr>
        <w:trPr>
          <w:cantSplit/>
          <w:tblHeader w:val="true"/>
        </w:trPr>
        <w:tc>
          <w:tcPr>
            <w:tcW w:type="dxa" w:w="2850"/>
            <w:tcMar>
              <w:top w:w="80" w:type="dxa"/>
              <w:start w:w="120" w:type="dxa"/>
              <w:bottom w:w="80" w:type="dxa"/>
              <w:end w:w="120" w:type="dxa"/>
            </w:tcMar>
            <w:vAlign w:val="center"/>
            <w:shd w:fill="F4F6F9" w:val="clear"/>
          </w:tcPr>
          <w:p>
            <w:pPr>
              <w:pStyle w:val="TableHeader"/>
              <w:jc w:val="left"/>
            </w:pPr>
            <w:r>
              <w:t>Severity</w:t>
            </w:r>
          </w:p>
        </w:tc>
        <w:tc>
          <w:tcPr>
            <w:tcW w:type="dxa" w:w="1950"/>
            <w:tcMar>
              <w:top w:w="80" w:type="dxa"/>
              <w:start w:w="120" w:type="dxa"/>
              <w:bottom w:w="80" w:type="dxa"/>
              <w:end w:w="120" w:type="dxa"/>
            </w:tcMar>
            <w:vAlign w:val="center"/>
            <w:shd w:fill="F4F6F9" w:val="clear"/>
          </w:tcPr>
          <w:p>
            <w:pPr>
              <w:pStyle w:val="TableHeader"/>
              <w:jc w:val="center"/>
            </w:pPr>
            <w:r>
              <w:t>Target response</w:t>
            </w:r>
          </w:p>
        </w:tc>
        <w:tc>
          <w:tcPr>
            <w:tcW w:type="dxa" w:w="4560"/>
            <w:tcMar>
              <w:top w:w="80" w:type="dxa"/>
              <w:start w:w="120" w:type="dxa"/>
              <w:bottom w:w="80" w:type="dxa"/>
              <w:end w:w="120" w:type="dxa"/>
            </w:tcMar>
            <w:vAlign w:val="center"/>
            <w:shd w:fill="F4F6F9" w:val="clear"/>
          </w:tcPr>
          <w:p>
            <w:pPr>
              <w:pStyle w:val="TableHeader"/>
              <w:jc w:val="left"/>
            </w:pPr>
            <w:r>
              <w:t>Target resolution / treatment</w:t>
            </w:r>
          </w:p>
        </w:tc>
      </w:tr>
      <w:tr>
        <w:trPr>
          <w:cantSplit/>
        </w:trPr>
        <w:tc>
          <w:tcPr>
            <w:tcW w:type="dxa" w:w="2850"/>
            <w:tcMar>
              <w:top w:w="80" w:type="dxa"/>
              <w:start w:w="120" w:type="dxa"/>
              <w:bottom w:w="80" w:type="dxa"/>
              <w:end w:w="120" w:type="dxa"/>
            </w:tcMar>
            <w:vAlign w:val="center"/>
          </w:tcPr>
          <w:p>
            <w:pPr>
              <w:pStyle w:val="TableText"/>
              <w:jc w:val="left"/>
            </w:pPr>
            <w:r>
              <w:t>Critical - system unavailable</w:t>
            </w:r>
          </w:p>
        </w:tc>
        <w:tc>
          <w:tcPr>
            <w:tcW w:type="dxa" w:w="1950"/>
            <w:tcMar>
              <w:top w:w="80" w:type="dxa"/>
              <w:start w:w="120" w:type="dxa"/>
              <w:bottom w:w="80" w:type="dxa"/>
              <w:end w:w="120" w:type="dxa"/>
            </w:tcMar>
            <w:vAlign w:val="center"/>
          </w:tcPr>
          <w:p>
            <w:pPr>
              <w:pStyle w:val="TableText"/>
              <w:jc w:val="center"/>
            </w:pPr>
            <w:r>
              <w:t>Within 4 hours</w:t>
            </w:r>
          </w:p>
        </w:tc>
        <w:tc>
          <w:tcPr>
            <w:tcW w:type="dxa" w:w="4560"/>
            <w:tcMar>
              <w:top w:w="80" w:type="dxa"/>
              <w:start w:w="120" w:type="dxa"/>
              <w:bottom w:w="80" w:type="dxa"/>
              <w:end w:w="120" w:type="dxa"/>
            </w:tcMar>
            <w:vAlign w:val="center"/>
          </w:tcPr>
          <w:p>
            <w:pPr>
              <w:pStyle w:val="TableText"/>
              <w:jc w:val="left"/>
            </w:pPr>
            <w:r>
              <w:t>Within 24 hours where technically feasible; continuous escalation, workaround and status updates.</w:t>
            </w:r>
          </w:p>
        </w:tc>
      </w:tr>
      <w:tr>
        <w:trPr>
          <w:cantSplit/>
        </w:trPr>
        <w:tc>
          <w:tcPr>
            <w:tcW w:type="dxa" w:w="2850"/>
            <w:tcMar>
              <w:top w:w="80" w:type="dxa"/>
              <w:start w:w="120" w:type="dxa"/>
              <w:bottom w:w="80" w:type="dxa"/>
              <w:end w:w="120" w:type="dxa"/>
            </w:tcMar>
            <w:vAlign w:val="center"/>
          </w:tcPr>
          <w:p>
            <w:pPr>
              <w:pStyle w:val="TableText"/>
              <w:jc w:val="left"/>
            </w:pPr>
            <w:r>
              <w:t>High - major function impaired</w:t>
            </w:r>
          </w:p>
        </w:tc>
        <w:tc>
          <w:tcPr>
            <w:tcW w:type="dxa" w:w="1950"/>
            <w:tcMar>
              <w:top w:w="80" w:type="dxa"/>
              <w:start w:w="120" w:type="dxa"/>
              <w:bottom w:w="80" w:type="dxa"/>
              <w:end w:w="120" w:type="dxa"/>
            </w:tcMar>
            <w:vAlign w:val="center"/>
          </w:tcPr>
          <w:p>
            <w:pPr>
              <w:pStyle w:val="TableText"/>
              <w:jc w:val="center"/>
            </w:pPr>
            <w:r>
              <w:t>Within 1 business day</w:t>
            </w:r>
          </w:p>
        </w:tc>
        <w:tc>
          <w:tcPr>
            <w:tcW w:type="dxa" w:w="4560"/>
            <w:tcMar>
              <w:top w:w="80" w:type="dxa"/>
              <w:start w:w="120" w:type="dxa"/>
              <w:bottom w:w="80" w:type="dxa"/>
              <w:end w:w="120" w:type="dxa"/>
            </w:tcMar>
            <w:vAlign w:val="center"/>
          </w:tcPr>
          <w:p>
            <w:pPr>
              <w:pStyle w:val="TableText"/>
              <w:jc w:val="left"/>
            </w:pPr>
            <w:r>
              <w:t>Within 3 business days, subject to dependency and approved workaround.</w:t>
            </w:r>
          </w:p>
        </w:tc>
      </w:tr>
      <w:tr>
        <w:trPr>
          <w:cantSplit/>
        </w:trPr>
        <w:tc>
          <w:tcPr>
            <w:tcW w:type="dxa" w:w="2850"/>
            <w:tcMar>
              <w:top w:w="80" w:type="dxa"/>
              <w:start w:w="120" w:type="dxa"/>
              <w:bottom w:w="80" w:type="dxa"/>
              <w:end w:w="120" w:type="dxa"/>
            </w:tcMar>
            <w:vAlign w:val="center"/>
          </w:tcPr>
          <w:p>
            <w:pPr>
              <w:pStyle w:val="TableText"/>
              <w:jc w:val="left"/>
            </w:pPr>
            <w:r>
              <w:t>Low - minor issue or request</w:t>
            </w:r>
          </w:p>
        </w:tc>
        <w:tc>
          <w:tcPr>
            <w:tcW w:type="dxa" w:w="1950"/>
            <w:tcMar>
              <w:top w:w="80" w:type="dxa"/>
              <w:start w:w="120" w:type="dxa"/>
              <w:bottom w:w="80" w:type="dxa"/>
              <w:end w:w="120" w:type="dxa"/>
            </w:tcMar>
            <w:vAlign w:val="center"/>
          </w:tcPr>
          <w:p>
            <w:pPr>
              <w:pStyle w:val="TableText"/>
              <w:jc w:val="center"/>
            </w:pPr>
            <w:r>
              <w:t>Within 3 business days</w:t>
            </w:r>
          </w:p>
        </w:tc>
        <w:tc>
          <w:tcPr>
            <w:tcW w:type="dxa" w:w="4560"/>
            <w:tcMar>
              <w:top w:w="80" w:type="dxa"/>
              <w:start w:w="120" w:type="dxa"/>
              <w:bottom w:w="80" w:type="dxa"/>
              <w:end w:w="120" w:type="dxa"/>
            </w:tcMar>
            <w:vAlign w:val="center"/>
          </w:tcPr>
          <w:p>
            <w:pPr>
              <w:pStyle w:val="TableText"/>
              <w:jc w:val="left"/>
            </w:pPr>
            <w:r>
              <w:t>Within 7 business days or scheduled release, as appropriate.</w:t>
            </w:r>
          </w:p>
        </w:tc>
      </w:tr>
    </w:tbl>
    <w:p>
      <w:pPr>
        <w:spacing w:before="0" w:after="40"/>
      </w:pPr>
    </w:p>
    <w:p>
      <w:pPr>
        <w:pStyle w:val="SmallNote"/>
        <w:spacing w:before="0" w:after="160"/>
      </w:pPr>
      <w:r>
        <w:rPr>
          <w:rFonts w:ascii="Calibri" w:hAnsi="Calibri" w:eastAsia="Calibri"/>
          <w:b w:val="0"/>
          <w:i w:val="0"/>
        </w:rPr>
        <w:t>Final SLA clocks, exclusions, support channels, office hours, on-site response, service credits or remedies, maintenance windows, warranty duration, and post-warranty pricing must be reconciled with the final bidding documents and contract.</w:t>
      </w:r>
    </w:p>
    <w:p>
      <w:pPr>
        <w:pStyle w:val="Heading1"/>
      </w:pPr>
      <w:r>
        <w:t>9. Deliverables and Acceptance Matrix</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00"/>
        <w:gridCol w:w="1500"/>
        <w:gridCol w:w="4560"/>
      </w:tblGrid>
      <w:tr>
        <w:trPr>
          <w:cantSplit/>
          <w:tblHeader w:val="true"/>
        </w:trPr>
        <w:tc>
          <w:tcPr>
            <w:tcW w:type="dxa" w:w="3300"/>
            <w:tcMar>
              <w:top w:w="80" w:type="dxa"/>
              <w:start w:w="120" w:type="dxa"/>
              <w:bottom w:w="80" w:type="dxa"/>
              <w:end w:w="120" w:type="dxa"/>
            </w:tcMar>
            <w:vAlign w:val="center"/>
            <w:shd w:fill="F4F6F9" w:val="clear"/>
          </w:tcPr>
          <w:p>
            <w:pPr>
              <w:pStyle w:val="TableHeader"/>
              <w:jc w:val="left"/>
            </w:pPr>
            <w:r>
              <w:t>Deliverable</w:t>
            </w:r>
          </w:p>
        </w:tc>
        <w:tc>
          <w:tcPr>
            <w:tcW w:type="dxa" w:w="1500"/>
            <w:tcMar>
              <w:top w:w="80" w:type="dxa"/>
              <w:start w:w="120" w:type="dxa"/>
              <w:bottom w:w="80" w:type="dxa"/>
              <w:end w:w="120" w:type="dxa"/>
            </w:tcMar>
            <w:vAlign w:val="center"/>
            <w:shd w:fill="F4F6F9" w:val="clear"/>
          </w:tcPr>
          <w:p>
            <w:pPr>
              <w:pStyle w:val="TableHeader"/>
              <w:jc w:val="center"/>
            </w:pPr>
            <w:r>
              <w:t>Target phase</w:t>
            </w:r>
          </w:p>
        </w:tc>
        <w:tc>
          <w:tcPr>
            <w:tcW w:type="dxa" w:w="4560"/>
            <w:tcMar>
              <w:top w:w="80" w:type="dxa"/>
              <w:start w:w="120" w:type="dxa"/>
              <w:bottom w:w="80" w:type="dxa"/>
              <w:end w:w="120" w:type="dxa"/>
            </w:tcMar>
            <w:vAlign w:val="center"/>
            <w:shd w:fill="F4F6F9" w:val="clear"/>
          </w:tcPr>
          <w:p>
            <w:pPr>
              <w:pStyle w:val="TableHeader"/>
              <w:jc w:val="left"/>
            </w:pPr>
            <w:r>
              <w:t>Acceptance evidence</w:t>
            </w:r>
          </w:p>
        </w:tc>
      </w:tr>
      <w:tr>
        <w:trPr>
          <w:cantSplit/>
        </w:trPr>
        <w:tc>
          <w:tcPr>
            <w:tcW w:type="dxa" w:w="3300"/>
            <w:tcMar>
              <w:top w:w="80" w:type="dxa"/>
              <w:start w:w="120" w:type="dxa"/>
              <w:bottom w:w="80" w:type="dxa"/>
              <w:end w:w="120" w:type="dxa"/>
            </w:tcMar>
            <w:vAlign w:val="center"/>
          </w:tcPr>
          <w:p>
            <w:pPr>
              <w:pStyle w:val="TableText"/>
              <w:jc w:val="left"/>
            </w:pPr>
            <w:r>
              <w:t>Approved Inception Report</w:t>
            </w:r>
          </w:p>
        </w:tc>
        <w:tc>
          <w:tcPr>
            <w:tcW w:type="dxa" w:w="1500"/>
            <w:tcMar>
              <w:top w:w="80" w:type="dxa"/>
              <w:start w:w="120" w:type="dxa"/>
              <w:bottom w:w="80" w:type="dxa"/>
              <w:end w:w="120" w:type="dxa"/>
            </w:tcMar>
            <w:vAlign w:val="center"/>
          </w:tcPr>
          <w:p>
            <w:pPr>
              <w:pStyle w:val="TableText"/>
              <w:jc w:val="center"/>
            </w:pPr>
            <w:r>
              <w:t>Phase 1</w:t>
            </w:r>
          </w:p>
        </w:tc>
        <w:tc>
          <w:tcPr>
            <w:tcW w:type="dxa" w:w="4560"/>
            <w:tcMar>
              <w:top w:w="80" w:type="dxa"/>
              <w:start w:w="120" w:type="dxa"/>
              <w:bottom w:w="80" w:type="dxa"/>
              <w:end w:w="120" w:type="dxa"/>
            </w:tcMar>
            <w:vAlign w:val="center"/>
          </w:tcPr>
          <w:p>
            <w:pPr>
              <w:pStyle w:val="TableText"/>
              <w:jc w:val="left"/>
            </w:pPr>
            <w:r>
              <w:t>Signed scope, workflows, architecture, compliance matrix, acceptance criteria, schedule, dependencies, and change control.</w:t>
            </w:r>
          </w:p>
        </w:tc>
      </w:tr>
      <w:tr>
        <w:trPr>
          <w:cantSplit/>
        </w:trPr>
        <w:tc>
          <w:tcPr>
            <w:tcW w:type="dxa" w:w="3300"/>
            <w:tcMar>
              <w:top w:w="80" w:type="dxa"/>
              <w:start w:w="120" w:type="dxa"/>
              <w:bottom w:w="80" w:type="dxa"/>
              <w:end w:w="120" w:type="dxa"/>
            </w:tcMar>
            <w:vAlign w:val="center"/>
          </w:tcPr>
          <w:p>
            <w:pPr>
              <w:pStyle w:val="TableText"/>
              <w:jc w:val="left"/>
            </w:pPr>
            <w:r>
              <w:t>Configured HRIS baseline</w:t>
            </w:r>
          </w:p>
        </w:tc>
        <w:tc>
          <w:tcPr>
            <w:tcW w:type="dxa" w:w="1500"/>
            <w:tcMar>
              <w:top w:w="80" w:type="dxa"/>
              <w:start w:w="120" w:type="dxa"/>
              <w:bottom w:w="80" w:type="dxa"/>
              <w:end w:w="120" w:type="dxa"/>
            </w:tcMar>
            <w:vAlign w:val="center"/>
          </w:tcPr>
          <w:p>
            <w:pPr>
              <w:pStyle w:val="TableText"/>
              <w:jc w:val="center"/>
            </w:pPr>
            <w:r>
              <w:t>Phase 2</w:t>
            </w:r>
          </w:p>
        </w:tc>
        <w:tc>
          <w:tcPr>
            <w:tcW w:type="dxa" w:w="4560"/>
            <w:tcMar>
              <w:top w:w="80" w:type="dxa"/>
              <w:start w:w="120" w:type="dxa"/>
              <w:bottom w:w="80" w:type="dxa"/>
              <w:end w:w="120" w:type="dxa"/>
            </w:tcMar>
            <w:vAlign w:val="center"/>
          </w:tcPr>
          <w:p>
            <w:pPr>
              <w:pStyle w:val="TableText"/>
              <w:jc w:val="left"/>
            </w:pPr>
            <w:r>
              <w:t>Approved references, roles, signatories, branding, forms, initial data, and demonstration results.</w:t>
            </w:r>
          </w:p>
        </w:tc>
      </w:tr>
      <w:tr>
        <w:trPr>
          <w:cantSplit/>
        </w:trPr>
        <w:tc>
          <w:tcPr>
            <w:tcW w:type="dxa" w:w="3300"/>
            <w:tcMar>
              <w:top w:w="80" w:type="dxa"/>
              <w:start w:w="120" w:type="dxa"/>
              <w:bottom w:w="80" w:type="dxa"/>
              <w:end w:w="120" w:type="dxa"/>
            </w:tcMar>
            <w:vAlign w:val="center"/>
          </w:tcPr>
          <w:p>
            <w:pPr>
              <w:pStyle w:val="TableText"/>
              <w:jc w:val="left"/>
            </w:pPr>
            <w:r>
              <w:t>Completed priority TOR workflows</w:t>
            </w:r>
          </w:p>
        </w:tc>
        <w:tc>
          <w:tcPr>
            <w:tcW w:type="dxa" w:w="1500"/>
            <w:tcMar>
              <w:top w:w="80" w:type="dxa"/>
              <w:start w:w="120" w:type="dxa"/>
              <w:bottom w:w="80" w:type="dxa"/>
              <w:end w:w="120" w:type="dxa"/>
            </w:tcMar>
            <w:vAlign w:val="center"/>
          </w:tcPr>
          <w:p>
            <w:pPr>
              <w:pStyle w:val="TableText"/>
              <w:jc w:val="center"/>
            </w:pPr>
            <w:r>
              <w:t>Phase 3</w:t>
            </w:r>
          </w:p>
        </w:tc>
        <w:tc>
          <w:tcPr>
            <w:tcW w:type="dxa" w:w="4560"/>
            <w:tcMar>
              <w:top w:w="80" w:type="dxa"/>
              <w:start w:w="120" w:type="dxa"/>
              <w:bottom w:w="80" w:type="dxa"/>
              <w:end w:w="120" w:type="dxa"/>
            </w:tcMar>
            <w:vAlign w:val="center"/>
          </w:tcPr>
          <w:p>
            <w:pPr>
              <w:pStyle w:val="TableText"/>
              <w:jc w:val="left"/>
            </w:pPr>
            <w:r>
              <w:t>Feature demonstrations, permission tests, event/audit evidence, approved outputs, and closed material defects.</w:t>
            </w:r>
          </w:p>
        </w:tc>
      </w:tr>
      <w:tr>
        <w:trPr>
          <w:cantSplit/>
        </w:trPr>
        <w:tc>
          <w:tcPr>
            <w:tcW w:type="dxa" w:w="3300"/>
            <w:tcMar>
              <w:top w:w="80" w:type="dxa"/>
              <w:start w:w="120" w:type="dxa"/>
              <w:bottom w:w="80" w:type="dxa"/>
              <w:end w:w="120" w:type="dxa"/>
            </w:tcMar>
            <w:vAlign w:val="center"/>
          </w:tcPr>
          <w:p>
            <w:pPr>
              <w:pStyle w:val="TableText"/>
              <w:jc w:val="left"/>
            </w:pPr>
            <w:r>
              <w:t>Reports and prescribed outputs</w:t>
            </w:r>
          </w:p>
        </w:tc>
        <w:tc>
          <w:tcPr>
            <w:tcW w:type="dxa" w:w="1500"/>
            <w:tcMar>
              <w:top w:w="80" w:type="dxa"/>
              <w:start w:w="120" w:type="dxa"/>
              <w:bottom w:w="80" w:type="dxa"/>
              <w:end w:w="120" w:type="dxa"/>
            </w:tcMar>
            <w:vAlign w:val="center"/>
          </w:tcPr>
          <w:p>
            <w:pPr>
              <w:pStyle w:val="TableText"/>
              <w:jc w:val="center"/>
            </w:pPr>
            <w:r>
              <w:t>Phase 4</w:t>
            </w:r>
          </w:p>
        </w:tc>
        <w:tc>
          <w:tcPr>
            <w:tcW w:type="dxa" w:w="4560"/>
            <w:tcMar>
              <w:top w:w="80" w:type="dxa"/>
              <w:start w:w="120" w:type="dxa"/>
              <w:bottom w:w="80" w:type="dxa"/>
              <w:end w:w="120" w:type="dxa"/>
            </w:tcMar>
            <w:vAlign w:val="center"/>
          </w:tcPr>
          <w:p>
            <w:pPr>
              <w:pStyle w:val="TableText"/>
              <w:jc w:val="left"/>
            </w:pPr>
            <w:r>
              <w:t>Approved definitions, representative files, totals, filters, signatories, render checks, and user sign-off.</w:t>
            </w:r>
          </w:p>
        </w:tc>
      </w:tr>
      <w:tr>
        <w:trPr>
          <w:cantSplit/>
        </w:trPr>
        <w:tc>
          <w:tcPr>
            <w:tcW w:type="dxa" w:w="3300"/>
            <w:tcMar>
              <w:top w:w="80" w:type="dxa"/>
              <w:start w:w="120" w:type="dxa"/>
              <w:bottom w:w="80" w:type="dxa"/>
              <w:end w:w="120" w:type="dxa"/>
            </w:tcMar>
            <w:vAlign w:val="center"/>
          </w:tcPr>
          <w:p>
            <w:pPr>
              <w:pStyle w:val="TableText"/>
              <w:jc w:val="left"/>
            </w:pPr>
            <w:r>
              <w:t>Security and operational controls</w:t>
            </w:r>
          </w:p>
        </w:tc>
        <w:tc>
          <w:tcPr>
            <w:tcW w:type="dxa" w:w="1500"/>
            <w:tcMar>
              <w:top w:w="80" w:type="dxa"/>
              <w:start w:w="120" w:type="dxa"/>
              <w:bottom w:w="80" w:type="dxa"/>
              <w:end w:w="120" w:type="dxa"/>
            </w:tcMar>
            <w:vAlign w:val="center"/>
          </w:tcPr>
          <w:p>
            <w:pPr>
              <w:pStyle w:val="TableText"/>
              <w:jc w:val="center"/>
            </w:pPr>
            <w:r>
              <w:t>Phase 4</w:t>
            </w:r>
          </w:p>
        </w:tc>
        <w:tc>
          <w:tcPr>
            <w:tcW w:type="dxa" w:w="4560"/>
            <w:tcMar>
              <w:top w:w="80" w:type="dxa"/>
              <w:start w:w="120" w:type="dxa"/>
              <w:bottom w:w="80" w:type="dxa"/>
              <w:end w:w="120" w:type="dxa"/>
            </w:tcMar>
            <w:vAlign w:val="center"/>
          </w:tcPr>
          <w:p>
            <w:pPr>
              <w:pStyle w:val="TableText"/>
              <w:jc w:val="left"/>
            </w:pPr>
            <w:r>
              <w:t>Hardening checklist, permission matrix, session rules, monitoring, encrypted backups, restore test, and recovery evidence.</w:t>
            </w:r>
          </w:p>
        </w:tc>
      </w:tr>
      <w:tr>
        <w:trPr>
          <w:cantSplit/>
        </w:trPr>
        <w:tc>
          <w:tcPr>
            <w:tcW w:type="dxa" w:w="3300"/>
            <w:tcMar>
              <w:top w:w="80" w:type="dxa"/>
              <w:start w:w="120" w:type="dxa"/>
              <w:bottom w:w="80" w:type="dxa"/>
              <w:end w:w="120" w:type="dxa"/>
            </w:tcMar>
            <w:vAlign w:val="center"/>
          </w:tcPr>
          <w:p>
            <w:pPr>
              <w:pStyle w:val="TableText"/>
              <w:jc w:val="left"/>
            </w:pPr>
            <w:r>
              <w:t>Migration package</w:t>
            </w:r>
          </w:p>
        </w:tc>
        <w:tc>
          <w:tcPr>
            <w:tcW w:type="dxa" w:w="1500"/>
            <w:tcMar>
              <w:top w:w="80" w:type="dxa"/>
              <w:start w:w="120" w:type="dxa"/>
              <w:bottom w:w="80" w:type="dxa"/>
              <w:end w:w="120" w:type="dxa"/>
            </w:tcMar>
            <w:vAlign w:val="center"/>
          </w:tcPr>
          <w:p>
            <w:pPr>
              <w:pStyle w:val="TableText"/>
              <w:jc w:val="center"/>
            </w:pPr>
            <w:r>
              <w:t>Phases 2 and 5</w:t>
            </w:r>
          </w:p>
        </w:tc>
        <w:tc>
          <w:tcPr>
            <w:tcW w:type="dxa" w:w="4560"/>
            <w:tcMar>
              <w:top w:w="80" w:type="dxa"/>
              <w:start w:w="120" w:type="dxa"/>
              <w:bottom w:w="80" w:type="dxa"/>
              <w:end w:w="120" w:type="dxa"/>
            </w:tcMar>
            <w:vAlign w:val="center"/>
          </w:tcPr>
          <w:p>
            <w:pPr>
              <w:pStyle w:val="TableText"/>
              <w:jc w:val="left"/>
            </w:pPr>
            <w:r>
              <w:t>Mapping, scripts/tools, rejected-row report, reconciliation totals, trial results, final validation, and HR sign-off.</w:t>
            </w:r>
          </w:p>
        </w:tc>
      </w:tr>
      <w:tr>
        <w:trPr>
          <w:cantSplit/>
        </w:trPr>
        <w:tc>
          <w:tcPr>
            <w:tcW w:type="dxa" w:w="3300"/>
            <w:tcMar>
              <w:top w:w="80" w:type="dxa"/>
              <w:start w:w="120" w:type="dxa"/>
              <w:bottom w:w="80" w:type="dxa"/>
              <w:end w:w="120" w:type="dxa"/>
            </w:tcMar>
            <w:vAlign w:val="center"/>
          </w:tcPr>
          <w:p>
            <w:pPr>
              <w:pStyle w:val="TableText"/>
              <w:jc w:val="left"/>
            </w:pPr>
            <w:r>
              <w:t>Biometric and integration validation</w:t>
            </w:r>
          </w:p>
        </w:tc>
        <w:tc>
          <w:tcPr>
            <w:tcW w:type="dxa" w:w="1500"/>
            <w:tcMar>
              <w:top w:w="80" w:type="dxa"/>
              <w:start w:w="120" w:type="dxa"/>
              <w:bottom w:w="80" w:type="dxa"/>
              <w:end w:w="120" w:type="dxa"/>
            </w:tcMar>
            <w:vAlign w:val="center"/>
          </w:tcPr>
          <w:p>
            <w:pPr>
              <w:pStyle w:val="TableText"/>
              <w:jc w:val="center"/>
            </w:pPr>
            <w:r>
              <w:t>Phase 5</w:t>
            </w:r>
          </w:p>
        </w:tc>
        <w:tc>
          <w:tcPr>
            <w:tcW w:type="dxa" w:w="4560"/>
            <w:tcMar>
              <w:top w:w="80" w:type="dxa"/>
              <w:start w:w="120" w:type="dxa"/>
              <w:bottom w:w="80" w:type="dxa"/>
              <w:end w:w="120" w:type="dxa"/>
            </w:tcMar>
            <w:vAlign w:val="center"/>
          </w:tcPr>
          <w:p>
            <w:pPr>
              <w:pStyle w:val="TableText"/>
              <w:jc w:val="left"/>
            </w:pPr>
            <w:r>
              <w:t>Device inventory, connection results, mapped users, synchronized logs, exception reconciliation, outage/retry tests, and sign-off.</w:t>
            </w:r>
          </w:p>
        </w:tc>
      </w:tr>
      <w:tr>
        <w:trPr>
          <w:cantSplit/>
        </w:trPr>
        <w:tc>
          <w:tcPr>
            <w:tcW w:type="dxa" w:w="3300"/>
            <w:tcMar>
              <w:top w:w="80" w:type="dxa"/>
              <w:start w:w="120" w:type="dxa"/>
              <w:bottom w:w="80" w:type="dxa"/>
              <w:end w:w="120" w:type="dxa"/>
            </w:tcMar>
            <w:vAlign w:val="center"/>
          </w:tcPr>
          <w:p>
            <w:pPr>
              <w:pStyle w:val="TableText"/>
              <w:jc w:val="left"/>
            </w:pPr>
            <w:r>
              <w:t>UAT and quality package</w:t>
            </w:r>
          </w:p>
        </w:tc>
        <w:tc>
          <w:tcPr>
            <w:tcW w:type="dxa" w:w="1500"/>
            <w:tcMar>
              <w:top w:w="80" w:type="dxa"/>
              <w:start w:w="120" w:type="dxa"/>
              <w:bottom w:w="80" w:type="dxa"/>
              <w:end w:w="120" w:type="dxa"/>
            </w:tcMar>
            <w:vAlign w:val="center"/>
          </w:tcPr>
          <w:p>
            <w:pPr>
              <w:pStyle w:val="TableText"/>
              <w:jc w:val="center"/>
            </w:pPr>
            <w:r>
              <w:t>Phase 5</w:t>
            </w:r>
          </w:p>
        </w:tc>
        <w:tc>
          <w:tcPr>
            <w:tcW w:type="dxa" w:w="4560"/>
            <w:tcMar>
              <w:top w:w="80" w:type="dxa"/>
              <w:start w:w="120" w:type="dxa"/>
              <w:bottom w:w="80" w:type="dxa"/>
              <w:end w:w="120" w:type="dxa"/>
            </w:tcMar>
            <w:vAlign w:val="center"/>
          </w:tcPr>
          <w:p>
            <w:pPr>
              <w:pStyle w:val="TableText"/>
              <w:jc w:val="left"/>
            </w:pPr>
            <w:r>
              <w:t>Test scripts, results, defects, retests, security checks, output samples, and acceptance recommendation.</w:t>
            </w:r>
          </w:p>
        </w:tc>
      </w:tr>
      <w:tr>
        <w:trPr>
          <w:cantSplit/>
        </w:trPr>
        <w:tc>
          <w:tcPr>
            <w:tcW w:type="dxa" w:w="3300"/>
            <w:tcMar>
              <w:top w:w="80" w:type="dxa"/>
              <w:start w:w="120" w:type="dxa"/>
              <w:bottom w:w="80" w:type="dxa"/>
              <w:end w:w="120" w:type="dxa"/>
            </w:tcMar>
            <w:vAlign w:val="center"/>
          </w:tcPr>
          <w:p>
            <w:pPr>
              <w:pStyle w:val="TableText"/>
              <w:jc w:val="left"/>
            </w:pPr>
            <w:r>
              <w:t>Training and documentation</w:t>
            </w:r>
          </w:p>
        </w:tc>
        <w:tc>
          <w:tcPr>
            <w:tcW w:type="dxa" w:w="1500"/>
            <w:tcMar>
              <w:top w:w="80" w:type="dxa"/>
              <w:start w:w="120" w:type="dxa"/>
              <w:bottom w:w="80" w:type="dxa"/>
              <w:end w:w="120" w:type="dxa"/>
            </w:tcMar>
            <w:vAlign w:val="center"/>
          </w:tcPr>
          <w:p>
            <w:pPr>
              <w:pStyle w:val="TableText"/>
              <w:jc w:val="center"/>
            </w:pPr>
            <w:r>
              <w:t>Phases 5 and 6</w:t>
            </w:r>
          </w:p>
        </w:tc>
        <w:tc>
          <w:tcPr>
            <w:tcW w:type="dxa" w:w="4560"/>
            <w:tcMar>
              <w:top w:w="80" w:type="dxa"/>
              <w:start w:w="120" w:type="dxa"/>
              <w:bottom w:w="80" w:type="dxa"/>
              <w:end w:w="120" w:type="dxa"/>
            </w:tcMar>
            <w:vAlign w:val="center"/>
          </w:tcPr>
          <w:p>
            <w:pPr>
              <w:pStyle w:val="TableText"/>
              <w:jc w:val="left"/>
            </w:pPr>
            <w:r>
              <w:t>Approved manuals, materials, attendance, evaluations, recordings where allowed, and knowledge-transfer sign-off.</w:t>
            </w:r>
          </w:p>
        </w:tc>
      </w:tr>
      <w:tr>
        <w:trPr>
          <w:cantSplit/>
        </w:trPr>
        <w:tc>
          <w:tcPr>
            <w:tcW w:type="dxa" w:w="3300"/>
            <w:tcMar>
              <w:top w:w="80" w:type="dxa"/>
              <w:start w:w="120" w:type="dxa"/>
              <w:bottom w:w="80" w:type="dxa"/>
              <w:end w:w="120" w:type="dxa"/>
            </w:tcMar>
            <w:vAlign w:val="center"/>
          </w:tcPr>
          <w:p>
            <w:pPr>
              <w:pStyle w:val="TableText"/>
              <w:jc w:val="left"/>
            </w:pPr>
            <w:r>
              <w:t>Production deployment and turnover</w:t>
            </w:r>
          </w:p>
        </w:tc>
        <w:tc>
          <w:tcPr>
            <w:tcW w:type="dxa" w:w="1500"/>
            <w:tcMar>
              <w:top w:w="80" w:type="dxa"/>
              <w:start w:w="120" w:type="dxa"/>
              <w:bottom w:w="80" w:type="dxa"/>
              <w:end w:w="120" w:type="dxa"/>
            </w:tcMar>
            <w:vAlign w:val="center"/>
          </w:tcPr>
          <w:p>
            <w:pPr>
              <w:pStyle w:val="TableText"/>
              <w:jc w:val="center"/>
            </w:pPr>
            <w:r>
              <w:t>Phase 6</w:t>
            </w:r>
          </w:p>
        </w:tc>
        <w:tc>
          <w:tcPr>
            <w:tcW w:type="dxa" w:w="4560"/>
            <w:tcMar>
              <w:top w:w="80" w:type="dxa"/>
              <w:start w:w="120" w:type="dxa"/>
              <w:bottom w:w="80" w:type="dxa"/>
              <w:end w:w="120" w:type="dxa"/>
            </w:tcMar>
            <w:vAlign w:val="center"/>
          </w:tcPr>
          <w:p>
            <w:pPr>
              <w:pStyle w:val="TableText"/>
              <w:jc w:val="left"/>
            </w:pPr>
            <w:r>
              <w:t>Installation record, configuration inventory, smoke test, cutover/recovery plan, source/deployment package, and go-live acceptance.</w:t>
            </w:r>
          </w:p>
        </w:tc>
      </w:tr>
    </w:tbl>
    <w:p>
      <w:pPr>
        <w:spacing w:before="0" w:after="40"/>
      </w:pPr>
    </w:p>
    <w:p>
      <w:pPr>
        <w:pStyle w:val="Heading1"/>
      </w:pPr>
      <w:r>
        <w:t>10. Assumptions, Dependencies, Clarifications, and Exclusions</w:t>
      </w:r>
    </w:p>
    <w:p>
      <w:pPr>
        <w:pStyle w:val="Heading2"/>
      </w:pPr>
      <w:r>
        <w:t>10.1 STRH responsibilities and dependencies</w:t>
      </w:r>
    </w:p>
    <w:p>
      <w:pPr>
        <w:numPr>
          <w:ilvl w:val="0"/>
          <w:numId w:val="90"/>
        </w:numPr>
        <w:spacing w:after="80" w:line="290" w:lineRule="auto"/>
      </w:pPr>
      <w:r>
        <w:rPr>
          <w:rFonts w:ascii="Calibri" w:hAnsi="Calibri" w:eastAsia="Calibri"/>
          <w:color w:val="1F2937"/>
          <w:sz w:val="22"/>
        </w:rPr>
        <w:t>Provide an authorized project owner, HR process owners, IT/security representatives, data owners, UAT users, and decision-makers.</w:t>
      </w:r>
    </w:p>
    <w:p>
      <w:pPr>
        <w:numPr>
          <w:ilvl w:val="0"/>
          <w:numId w:val="90"/>
        </w:numPr>
        <w:spacing w:after="80" w:line="290" w:lineRule="auto"/>
      </w:pPr>
      <w:r>
        <w:rPr>
          <w:rFonts w:ascii="Calibri" w:hAnsi="Calibri" w:eastAsia="Calibri"/>
          <w:color w:val="1F2937"/>
          <w:sz w:val="22"/>
        </w:rPr>
        <w:t>Provide official employee data, PSIPOP/Plantilla source, reference codes, policies, schedules, leave rules, reports, forms, signatories, branding, and retention requirements in agreed formats and dates.</w:t>
      </w:r>
    </w:p>
    <w:p>
      <w:pPr>
        <w:numPr>
          <w:ilvl w:val="0"/>
          <w:numId w:val="90"/>
        </w:numPr>
        <w:spacing w:after="80" w:line="290" w:lineRule="auto"/>
      </w:pPr>
      <w:r>
        <w:rPr>
          <w:rFonts w:ascii="Calibri" w:hAnsi="Calibri" w:eastAsia="Calibri"/>
          <w:color w:val="1F2937"/>
          <w:sz w:val="22"/>
        </w:rPr>
        <w:t>Provide access to approved servers, network, domains, SSL process, email service, biometric devices, installation locations, and required technical personnel.</w:t>
      </w:r>
    </w:p>
    <w:p>
      <w:pPr>
        <w:numPr>
          <w:ilvl w:val="0"/>
          <w:numId w:val="90"/>
        </w:numPr>
        <w:spacing w:after="80" w:line="290" w:lineRule="auto"/>
      </w:pPr>
      <w:r>
        <w:rPr>
          <w:rFonts w:ascii="Calibri" w:hAnsi="Calibri" w:eastAsia="Calibri"/>
          <w:color w:val="1F2937"/>
          <w:sz w:val="22"/>
        </w:rPr>
        <w:t>Review deliverables and issue consolidated decisions within the agreed review period; delays may move dependent milestones.</w:t>
      </w:r>
    </w:p>
    <w:p>
      <w:pPr>
        <w:numPr>
          <w:ilvl w:val="0"/>
          <w:numId w:val="90"/>
        </w:numPr>
        <w:spacing w:after="80" w:line="290" w:lineRule="auto"/>
      </w:pPr>
      <w:r>
        <w:rPr>
          <w:rFonts w:ascii="Calibri" w:hAnsi="Calibri" w:eastAsia="Calibri"/>
          <w:color w:val="1F2937"/>
          <w:sz w:val="22"/>
        </w:rPr>
        <w:t>Authorize and protect test data, accounts, devices, and production credentials in accordance with STRH security and privacy requirements.</w:t>
      </w:r>
    </w:p>
    <w:p>
      <w:pPr>
        <w:pStyle w:val="Heading2"/>
      </w:pPr>
      <w:r>
        <w:t>10.2 Required pre-submission or inception clarifications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800"/>
        <w:gridCol w:w="6560"/>
      </w:tblGrid>
      <w:tr>
        <w:trPr>
          <w:cantSplit/>
          <w:tblHeader w:val="true"/>
        </w:trPr>
        <w:tc>
          <w:tcPr>
            <w:tcW w:type="dxa" w:w="2800"/>
            <w:tcMar>
              <w:top w:w="80" w:type="dxa"/>
              <w:start w:w="120" w:type="dxa"/>
              <w:bottom w:w="80" w:type="dxa"/>
              <w:end w:w="120" w:type="dxa"/>
            </w:tcMar>
            <w:vAlign w:val="center"/>
            <w:shd w:fill="F4F6F9" w:val="clear"/>
          </w:tcPr>
          <w:p>
            <w:pPr>
              <w:pStyle w:val="TableHeader"/>
              <w:jc w:val="left"/>
            </w:pPr>
            <w:r>
              <w:t>Clarification</w:t>
            </w:r>
          </w:p>
        </w:tc>
        <w:tc>
          <w:tcPr>
            <w:tcW w:type="dxa" w:w="6560"/>
            <w:tcMar>
              <w:top w:w="80" w:type="dxa"/>
              <w:start w:w="120" w:type="dxa"/>
              <w:bottom w:w="80" w:type="dxa"/>
              <w:end w:w="120" w:type="dxa"/>
            </w:tcMar>
            <w:vAlign w:val="center"/>
            <w:shd w:fill="F4F6F9" w:val="clear"/>
          </w:tcPr>
          <w:p>
            <w:pPr>
              <w:pStyle w:val="TableHeader"/>
              <w:jc w:val="left"/>
            </w:pPr>
            <w:r>
              <w:t>Required decision</w:t>
            </w:r>
          </w:p>
        </w:tc>
      </w:tr>
      <w:tr>
        <w:trPr>
          <w:cantSplit/>
        </w:trPr>
        <w:tc>
          <w:tcPr>
            <w:tcW w:type="dxa" w:w="2800"/>
            <w:tcMar>
              <w:top w:w="80" w:type="dxa"/>
              <w:start w:w="120" w:type="dxa"/>
              <w:bottom w:w="80" w:type="dxa"/>
              <w:end w:w="120" w:type="dxa"/>
            </w:tcMar>
            <w:vAlign w:val="center"/>
          </w:tcPr>
          <w:p>
            <w:pPr>
              <w:pStyle w:val="TableText"/>
              <w:jc w:val="left"/>
            </w:pPr>
            <w:r>
              <w:t>Payroll</w:t>
            </w:r>
          </w:p>
        </w:tc>
        <w:tc>
          <w:tcPr>
            <w:tcW w:type="dxa" w:w="6560"/>
            <w:tcMar>
              <w:top w:w="80" w:type="dxa"/>
              <w:start w:w="120" w:type="dxa"/>
              <w:bottom w:w="80" w:type="dxa"/>
              <w:end w:w="120" w:type="dxa"/>
            </w:tcMar>
            <w:vAlign w:val="center"/>
          </w:tcPr>
          <w:p>
            <w:pPr>
              <w:pStyle w:val="TableText"/>
              <w:jc w:val="left"/>
            </w:pPr>
            <w:r>
              <w:t>Full payroll module, payroll interface/notification only, or excluded from the base scope.</w:t>
            </w:r>
          </w:p>
        </w:tc>
      </w:tr>
      <w:tr>
        <w:trPr>
          <w:cantSplit/>
        </w:trPr>
        <w:tc>
          <w:tcPr>
            <w:tcW w:type="dxa" w:w="2800"/>
            <w:tcMar>
              <w:top w:w="80" w:type="dxa"/>
              <w:start w:w="120" w:type="dxa"/>
              <w:bottom w:w="80" w:type="dxa"/>
              <w:end w:w="120" w:type="dxa"/>
            </w:tcMar>
            <w:vAlign w:val="center"/>
          </w:tcPr>
          <w:p>
            <w:pPr>
              <w:pStyle w:val="TableText"/>
              <w:jc w:val="left"/>
            </w:pPr>
            <w:r>
              <w:t>Recruitment</w:t>
            </w:r>
          </w:p>
        </w:tc>
        <w:tc>
          <w:tcPr>
            <w:tcW w:type="dxa" w:w="6560"/>
            <w:tcMar>
              <w:top w:w="80" w:type="dxa"/>
              <w:start w:w="120" w:type="dxa"/>
              <w:bottom w:w="80" w:type="dxa"/>
              <w:end w:w="120" w:type="dxa"/>
            </w:tcMar>
            <w:vAlign w:val="center"/>
          </w:tcPr>
          <w:p>
            <w:pPr>
              <w:pStyle w:val="TableText"/>
              <w:jc w:val="left"/>
            </w:pPr>
            <w:r>
              <w:t>Full recruitment lifecycle or limited forms, records, reports, and personnel movement support.</w:t>
            </w:r>
          </w:p>
        </w:tc>
      </w:tr>
      <w:tr>
        <w:trPr>
          <w:cantSplit/>
        </w:trPr>
        <w:tc>
          <w:tcPr>
            <w:tcW w:type="dxa" w:w="2800"/>
            <w:tcMar>
              <w:top w:w="80" w:type="dxa"/>
              <w:start w:w="120" w:type="dxa"/>
              <w:bottom w:w="80" w:type="dxa"/>
              <w:end w:w="120" w:type="dxa"/>
            </w:tcMar>
            <w:vAlign w:val="center"/>
          </w:tcPr>
          <w:p>
            <w:pPr>
              <w:pStyle w:val="TableText"/>
              <w:jc w:val="left"/>
            </w:pPr>
            <w:r>
              <w:t>Technology</w:t>
            </w:r>
          </w:p>
        </w:tc>
        <w:tc>
          <w:tcPr>
            <w:tcW w:type="dxa" w:w="6560"/>
            <w:tcMar>
              <w:top w:w="80" w:type="dxa"/>
              <w:start w:w="120" w:type="dxa"/>
              <w:bottom w:w="80" w:type="dxa"/>
              <w:end w:w="120" w:type="dxa"/>
            </w:tcMar>
            <w:vAlign w:val="center"/>
          </w:tcPr>
          <w:p>
            <w:pPr>
              <w:pStyle w:val="TableText"/>
              <w:jc w:val="left"/>
            </w:pPr>
            <w:r>
              <w:t>Formal acceptance of the proposed JavaScript/Node/MySQL architecture.</w:t>
            </w:r>
          </w:p>
        </w:tc>
      </w:tr>
      <w:tr>
        <w:trPr>
          <w:cantSplit/>
        </w:trPr>
        <w:tc>
          <w:tcPr>
            <w:tcW w:type="dxa" w:w="2800"/>
            <w:tcMar>
              <w:top w:w="80" w:type="dxa"/>
              <w:start w:w="120" w:type="dxa"/>
              <w:bottom w:w="80" w:type="dxa"/>
              <w:end w:w="120" w:type="dxa"/>
            </w:tcMar>
            <w:vAlign w:val="center"/>
          </w:tcPr>
          <w:p>
            <w:pPr>
              <w:pStyle w:val="TableText"/>
              <w:jc w:val="left"/>
            </w:pPr>
            <w:r>
              <w:t>Browser support</w:t>
            </w:r>
          </w:p>
        </w:tc>
        <w:tc>
          <w:tcPr>
            <w:tcW w:type="dxa" w:w="6560"/>
            <w:tcMar>
              <w:top w:w="80" w:type="dxa"/>
              <w:start w:w="120" w:type="dxa"/>
              <w:bottom w:w="80" w:type="dxa"/>
              <w:end w:w="120" w:type="dxa"/>
            </w:tcMar>
            <w:vAlign w:val="center"/>
          </w:tcPr>
          <w:p>
            <w:pPr>
              <w:pStyle w:val="TableText"/>
              <w:jc w:val="left"/>
            </w:pPr>
            <w:r>
              <w:t>Approved modern browser/device matrix and treatment of Internet Explorer/legacy systems.</w:t>
            </w:r>
          </w:p>
        </w:tc>
      </w:tr>
      <w:tr>
        <w:trPr>
          <w:cantSplit/>
        </w:trPr>
        <w:tc>
          <w:tcPr>
            <w:tcW w:type="dxa" w:w="2800"/>
            <w:tcMar>
              <w:top w:w="80" w:type="dxa"/>
              <w:start w:w="120" w:type="dxa"/>
              <w:bottom w:w="80" w:type="dxa"/>
              <w:end w:w="120" w:type="dxa"/>
            </w:tcMar>
            <w:vAlign w:val="center"/>
          </w:tcPr>
          <w:p>
            <w:pPr>
              <w:pStyle w:val="TableText"/>
              <w:jc w:val="left"/>
            </w:pPr>
            <w:r>
              <w:t>Database scope</w:t>
            </w:r>
          </w:p>
        </w:tc>
        <w:tc>
          <w:tcPr>
            <w:tcW w:type="dxa" w:w="6560"/>
            <w:tcMar>
              <w:top w:w="80" w:type="dxa"/>
              <w:start w:w="120" w:type="dxa"/>
              <w:bottom w:w="80" w:type="dxa"/>
              <w:end w:w="120" w:type="dxa"/>
            </w:tcMar>
            <w:vAlign w:val="center"/>
          </w:tcPr>
          <w:p>
            <w:pPr>
              <w:pStyle w:val="TableText"/>
              <w:jc w:val="left"/>
            </w:pPr>
            <w:r>
              <w:t>MySQL as the production database or funded portability to additional engines.</w:t>
            </w:r>
          </w:p>
        </w:tc>
      </w:tr>
      <w:tr>
        <w:trPr>
          <w:cantSplit/>
        </w:trPr>
        <w:tc>
          <w:tcPr>
            <w:tcW w:type="dxa" w:w="2800"/>
            <w:tcMar>
              <w:top w:w="80" w:type="dxa"/>
              <w:start w:w="120" w:type="dxa"/>
              <w:bottom w:w="80" w:type="dxa"/>
              <w:end w:w="120" w:type="dxa"/>
            </w:tcMar>
            <w:vAlign w:val="center"/>
          </w:tcPr>
          <w:p>
            <w:pPr>
              <w:pStyle w:val="TableText"/>
              <w:jc w:val="left"/>
            </w:pPr>
            <w:r>
              <w:t>Biometric supply</w:t>
            </w:r>
          </w:p>
        </w:tc>
        <w:tc>
          <w:tcPr>
            <w:tcW w:type="dxa" w:w="6560"/>
            <w:tcMar>
              <w:top w:w="80" w:type="dxa"/>
              <w:start w:w="120" w:type="dxa"/>
              <w:bottom w:w="80" w:type="dxa"/>
              <w:end w:w="120" w:type="dxa"/>
            </w:tcMar>
            <w:vAlign w:val="center"/>
          </w:tcPr>
          <w:p>
            <w:pPr>
              <w:pStyle w:val="TableText"/>
              <w:jc w:val="left"/>
            </w:pPr>
            <w:r>
              <w:t>Exact technical specification, equivalency, unit count, accessories, warranties, cabling, installation, and acceptance.</w:t>
            </w:r>
          </w:p>
        </w:tc>
      </w:tr>
      <w:tr>
        <w:trPr>
          <w:cantSplit/>
        </w:trPr>
        <w:tc>
          <w:tcPr>
            <w:tcW w:type="dxa" w:w="2800"/>
            <w:tcMar>
              <w:top w:w="80" w:type="dxa"/>
              <w:start w:w="120" w:type="dxa"/>
              <w:bottom w:w="80" w:type="dxa"/>
              <w:end w:w="120" w:type="dxa"/>
            </w:tcMar>
            <w:vAlign w:val="center"/>
          </w:tcPr>
          <w:p>
            <w:pPr>
              <w:pStyle w:val="TableText"/>
              <w:jc w:val="left"/>
            </w:pPr>
            <w:r>
              <w:t>Official templates</w:t>
            </w:r>
          </w:p>
        </w:tc>
        <w:tc>
          <w:tcPr>
            <w:tcW w:type="dxa" w:w="6560"/>
            <w:tcMar>
              <w:top w:w="80" w:type="dxa"/>
              <w:start w:w="120" w:type="dxa"/>
              <w:bottom w:w="80" w:type="dxa"/>
              <w:end w:w="120" w:type="dxa"/>
            </w:tcMar>
            <w:vAlign w:val="center"/>
          </w:tcPr>
          <w:p>
            <w:pPr>
              <w:pStyle w:val="TableText"/>
              <w:jc w:val="left"/>
            </w:pPr>
            <w:r>
              <w:t>Editable source forms, report formats, signatory rules, continuation sheets, and approval authority.</w:t>
            </w:r>
          </w:p>
        </w:tc>
      </w:tr>
      <w:tr>
        <w:trPr>
          <w:cantSplit/>
        </w:trPr>
        <w:tc>
          <w:tcPr>
            <w:tcW w:type="dxa" w:w="2800"/>
            <w:tcMar>
              <w:top w:w="80" w:type="dxa"/>
              <w:start w:w="120" w:type="dxa"/>
              <w:bottom w:w="80" w:type="dxa"/>
              <w:end w:w="120" w:type="dxa"/>
            </w:tcMar>
            <w:vAlign w:val="center"/>
          </w:tcPr>
          <w:p>
            <w:pPr>
              <w:pStyle w:val="TableText"/>
              <w:jc w:val="left"/>
            </w:pPr>
            <w:r>
              <w:t>Warranty/support</w:t>
            </w:r>
          </w:p>
        </w:tc>
        <w:tc>
          <w:tcPr>
            <w:tcW w:type="dxa" w:w="6560"/>
            <w:tcMar>
              <w:top w:w="80" w:type="dxa"/>
              <w:start w:w="120" w:type="dxa"/>
              <w:bottom w:w="80" w:type="dxa"/>
              <w:end w:w="120" w:type="dxa"/>
            </w:tcMar>
            <w:vAlign w:val="center"/>
          </w:tcPr>
          <w:p>
            <w:pPr>
              <w:pStyle w:val="TableText"/>
              <w:jc w:val="left"/>
            </w:pPr>
            <w:r>
              <w:t>One-year maintenance and two-year proactive assistance language, coverage, on-site obligations, and pricing.</w:t>
            </w:r>
          </w:p>
        </w:tc>
      </w:tr>
      <w:tr>
        <w:trPr>
          <w:cantSplit/>
        </w:trPr>
        <w:tc>
          <w:tcPr>
            <w:tcW w:type="dxa" w:w="2800"/>
            <w:tcMar>
              <w:top w:w="80" w:type="dxa"/>
              <w:start w:w="120" w:type="dxa"/>
              <w:bottom w:w="80" w:type="dxa"/>
              <w:end w:w="120" w:type="dxa"/>
            </w:tcMar>
            <w:vAlign w:val="center"/>
          </w:tcPr>
          <w:p>
            <w:pPr>
              <w:pStyle w:val="TableText"/>
              <w:jc w:val="left"/>
            </w:pPr>
            <w:r>
              <w:t>Ownership and licensing</w:t>
            </w:r>
          </w:p>
        </w:tc>
        <w:tc>
          <w:tcPr>
            <w:tcW w:type="dxa" w:w="6560"/>
            <w:tcMar>
              <w:top w:w="80" w:type="dxa"/>
              <w:start w:w="120" w:type="dxa"/>
              <w:bottom w:w="80" w:type="dxa"/>
              <w:end w:w="120" w:type="dxa"/>
            </w:tcMar>
            <w:vAlign w:val="center"/>
          </w:tcPr>
          <w:p>
            <w:pPr>
              <w:pStyle w:val="TableText"/>
              <w:jc w:val="left"/>
            </w:pPr>
            <w:r>
              <w:t>Source-code handover, license, reuse rights, third-party components, escrow if required, and post-contract maintenance rights.</w:t>
            </w:r>
          </w:p>
        </w:tc>
      </w:tr>
    </w:tbl>
    <w:p>
      <w:pPr>
        <w:spacing w:before="0" w:after="40"/>
      </w:pPr>
    </w:p>
    <w:p>
      <w:pPr>
        <w:pStyle w:val="Heading2"/>
      </w:pPr>
      <w:r>
        <w:t>10.3 Base exclusions unless expressly included</w:t>
      </w:r>
    </w:p>
    <w:p>
      <w:pPr>
        <w:numPr>
          <w:ilvl w:val="0"/>
          <w:numId w:val="90"/>
        </w:numPr>
        <w:spacing w:after="80" w:line="290" w:lineRule="auto"/>
      </w:pPr>
      <w:r>
        <w:rPr>
          <w:rFonts w:ascii="Calibri" w:hAnsi="Calibri" w:eastAsia="Calibri"/>
          <w:color w:val="1F2937"/>
          <w:sz w:val="22"/>
        </w:rPr>
        <w:t>Full payroll computation, remittance, disbursement, and accounting integration until the scope is clarified and priced.</w:t>
      </w:r>
    </w:p>
    <w:p>
      <w:pPr>
        <w:numPr>
          <w:ilvl w:val="0"/>
          <w:numId w:val="90"/>
        </w:numPr>
        <w:spacing w:after="80" w:line="290" w:lineRule="auto"/>
      </w:pPr>
      <w:r>
        <w:rPr>
          <w:rFonts w:ascii="Calibri" w:hAnsi="Calibri" w:eastAsia="Calibri"/>
          <w:color w:val="1F2937"/>
          <w:sz w:val="22"/>
        </w:rPr>
        <w:t>Native Android/iOS applications; the base solution is responsive web and mobile-browser compatible.</w:t>
      </w:r>
    </w:p>
    <w:p>
      <w:pPr>
        <w:numPr>
          <w:ilvl w:val="0"/>
          <w:numId w:val="90"/>
        </w:numPr>
        <w:spacing w:after="80" w:line="290" w:lineRule="auto"/>
      </w:pPr>
      <w:r>
        <w:rPr>
          <w:rFonts w:ascii="Calibri" w:hAnsi="Calibri" w:eastAsia="Calibri"/>
          <w:color w:val="1F2937"/>
          <w:sz w:val="22"/>
        </w:rPr>
        <w:t>Compatibility with Oracle, PostgreSQL, MSSQL, DBF, Internet Explorer, or unsupported legacy operating systems.</w:t>
      </w:r>
    </w:p>
    <w:p>
      <w:pPr>
        <w:numPr>
          <w:ilvl w:val="0"/>
          <w:numId w:val="90"/>
        </w:numPr>
        <w:spacing w:after="80" w:line="290" w:lineRule="auto"/>
      </w:pPr>
      <w:r>
        <w:rPr>
          <w:rFonts w:ascii="Calibri" w:hAnsi="Calibri" w:eastAsia="Calibri"/>
          <w:color w:val="1F2937"/>
          <w:sz w:val="22"/>
        </w:rPr>
        <w:t>Third-party subscriptions, SMS charges, email-service fees, SSL/domain fees, cloud hosting, operating-system licenses, or database licenses not expressly listed in the Bill of Quantities.</w:t>
      </w:r>
    </w:p>
    <w:p>
      <w:pPr>
        <w:numPr>
          <w:ilvl w:val="0"/>
          <w:numId w:val="90"/>
        </w:numPr>
        <w:spacing w:after="80" w:line="290" w:lineRule="auto"/>
      </w:pPr>
      <w:r>
        <w:rPr>
          <w:rFonts w:ascii="Calibri" w:hAnsi="Calibri" w:eastAsia="Calibri"/>
          <w:color w:val="1F2937"/>
          <w:sz w:val="22"/>
        </w:rPr>
        <w:t>Data cleansing beyond agreed transformation rules, manual reconstruction of missing records, or scanning/indexing of legacy paper files unless separately quantified.</w:t>
      </w:r>
    </w:p>
    <w:p>
      <w:pPr>
        <w:numPr>
          <w:ilvl w:val="0"/>
          <w:numId w:val="90"/>
        </w:numPr>
        <w:spacing w:after="80" w:line="290" w:lineRule="auto"/>
      </w:pPr>
      <w:r>
        <w:rPr>
          <w:rFonts w:ascii="Calibri" w:hAnsi="Calibri" w:eastAsia="Calibri"/>
          <w:color w:val="1F2937"/>
          <w:sz w:val="22"/>
        </w:rPr>
        <w:t>New requirements introduced after approval of the Inception Report, except through approved change control.</w:t>
      </w:r>
    </w:p>
    <w:p>
      <w:r>
        <w:br w:type="page"/>
      </w:r>
    </w:p>
    <w:p>
      <w:pPr>
        <w:pStyle w:val="Heading1"/>
      </w:pPr>
      <w:r>
        <w:t>11. Commercial Proposal</w:t>
      </w:r>
    </w:p>
    <w:tbl>
      <w:tblPr>
        <w:tblW w:type="dxa" w:w="9360"/>
        <w:jc w:val="left"/>
        <w:tblLayout w:type="fixed"/>
        <w:tblLook w:firstColumn="1" w:firstRow="1" w:lastColumn="0" w:lastRow="0" w:noHBand="0" w:noVBand="1" w:val="04A0"/>
        <w:tblInd w:w="120" w:type="dxa"/>
        <w:tblBorders>
          <w:top w:val="single" w:sz="6" w:space="0" w:color="C9D8EB"/>
          <w:left w:val="single" w:sz="6" w:space="0" w:color="C9D8EB"/>
          <w:bottom w:val="single" w:sz="6" w:space="0" w:color="C9D8EB"/>
          <w:right w:val="single" w:sz="6" w:space="0" w:color="C9D8EB"/>
          <w:insideH w:val="single" w:sz="6" w:space="0" w:color="C9D8EB"/>
          <w:insideV w:val="single" w:sz="6" w:space="0" w:color="C9D8EB"/>
        </w:tblBorders>
      </w:tblPr>
      <w:tblGrid>
        <w:gridCol w:w="9360"/>
      </w:tblGrid>
      <w:tr>
        <w:trPr>
          <w:cantSplit/>
        </w:trPr>
        <w:tc>
          <w:tcPr>
            <w:tcW w:type="dxa" w:w="9360"/>
            <w:tcMar>
              <w:top w:w="80" w:type="dxa"/>
              <w:start w:w="120" w:type="dxa"/>
              <w:bottom w:w="80" w:type="dxa"/>
              <w:end w:w="120" w:type="dxa"/>
            </w:tcMar>
            <w:vAlign w:val="center"/>
            <w:shd w:fill="FFF6D8" w:val="clear"/>
          </w:tcPr>
          <w:p>
            <w:pPr>
              <w:pStyle w:val="Callout"/>
            </w:pPr>
            <w:r>
              <w:rPr>
                <w:rFonts w:ascii="Calibri" w:hAnsi="Calibri" w:eastAsia="Calibri"/>
                <w:b/>
                <w:color w:val="1F4D78"/>
                <w:sz w:val="21"/>
              </w:rPr>
              <w:t xml:space="preserve">Commercial completion required: </w:t>
            </w:r>
            <w:r>
              <w:rPr>
                <w:rFonts w:ascii="Calibri" w:hAnsi="Calibri" w:eastAsia="Calibri"/>
                <w:color w:val="1F4D78"/>
                <w:sz w:val="21"/>
              </w:rPr>
              <w:t>The amounts below are deliberately left blank. They must be completed by the bidder after final scope, hardware, taxes, warranty, licensing, and procurement requirements are confirmed.</w:t>
            </w:r>
          </w:p>
        </w:tc>
      </w:tr>
    </w:tbl>
    <w:p>
      <w:pPr>
        <w:spacing w:before="0" w:after="60"/>
      </w:pPr>
    </w:p>
    <w:p>
      <w:pPr>
        <w:pStyle w:val="Heading2"/>
      </w:pPr>
      <w:r>
        <w:t>Commercial cost schedule</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6800"/>
        <w:gridCol w:w="2560"/>
      </w:tblGrid>
      <w:tr>
        <w:trPr>
          <w:cantSplit/>
          <w:tblHeader w:val="true"/>
        </w:trPr>
        <w:tc>
          <w:tcPr>
            <w:tcW w:type="dxa" w:w="6800"/>
            <w:tcMar>
              <w:top w:w="80" w:type="dxa"/>
              <w:start w:w="120" w:type="dxa"/>
              <w:bottom w:w="80" w:type="dxa"/>
              <w:end w:w="120" w:type="dxa"/>
            </w:tcMar>
            <w:vAlign w:val="center"/>
            <w:shd w:fill="F4F6F9" w:val="clear"/>
          </w:tcPr>
          <w:p>
            <w:pPr>
              <w:pStyle w:val="TableHeader"/>
              <w:jc w:val="left"/>
            </w:pPr>
            <w:r>
              <w:t>Cost component</w:t>
            </w:r>
          </w:p>
        </w:tc>
        <w:tc>
          <w:tcPr>
            <w:tcW w:type="dxa" w:w="2560"/>
            <w:tcMar>
              <w:top w:w="80" w:type="dxa"/>
              <w:start w:w="120" w:type="dxa"/>
              <w:bottom w:w="80" w:type="dxa"/>
              <w:end w:w="120" w:type="dxa"/>
            </w:tcMar>
            <w:vAlign w:val="center"/>
            <w:shd w:fill="F4F6F9" w:val="clear"/>
          </w:tcPr>
          <w:p>
            <w:pPr>
              <w:pStyle w:val="TableHeader"/>
              <w:jc w:val="center"/>
            </w:pPr>
            <w:r>
              <w:t>Amount (PHP)</w:t>
            </w:r>
          </w:p>
        </w:tc>
      </w:tr>
      <w:tr>
        <w:trPr>
          <w:cantSplit/>
        </w:trPr>
        <w:tc>
          <w:tcPr>
            <w:tcW w:type="dxa" w:w="6800"/>
            <w:tcMar>
              <w:top w:w="80" w:type="dxa"/>
              <w:start w:w="120" w:type="dxa"/>
              <w:bottom w:w="80" w:type="dxa"/>
              <w:end w:w="120" w:type="dxa"/>
            </w:tcMar>
            <w:vAlign w:val="center"/>
          </w:tcPr>
          <w:p>
            <w:pPr>
              <w:pStyle w:val="TableText"/>
              <w:jc w:val="left"/>
            </w:pPr>
            <w:r>
              <w:t>Software implementation, customization, and configuration</w:t>
            </w:r>
          </w:p>
        </w:tc>
        <w:tc>
          <w:tcPr>
            <w:tcW w:type="dxa" w:w="2560"/>
            <w:tcMar>
              <w:top w:w="80" w:type="dxa"/>
              <w:start w:w="120" w:type="dxa"/>
              <w:bottom w:w="80" w:type="dxa"/>
              <w:end w:w="120" w:type="dxa"/>
            </w:tcMar>
            <w:vAlign w:val="center"/>
          </w:tcPr>
          <w:p>
            <w:pPr>
              <w:pStyle w:val="TableText"/>
              <w:jc w:val="center"/>
            </w:pPr>
            <w:r>
              <w:t>[INSERT AMOUNT]</w:t>
            </w:r>
          </w:p>
        </w:tc>
      </w:tr>
      <w:tr>
        <w:trPr>
          <w:cantSplit/>
        </w:trPr>
        <w:tc>
          <w:tcPr>
            <w:tcW w:type="dxa" w:w="6800"/>
            <w:tcMar>
              <w:top w:w="80" w:type="dxa"/>
              <w:start w:w="120" w:type="dxa"/>
              <w:bottom w:w="80" w:type="dxa"/>
              <w:end w:w="120" w:type="dxa"/>
            </w:tcMar>
            <w:vAlign w:val="center"/>
          </w:tcPr>
          <w:p>
            <w:pPr>
              <w:pStyle w:val="TableText"/>
              <w:jc w:val="left"/>
            </w:pPr>
            <w:r>
              <w:t>Data migration and validation</w:t>
            </w:r>
          </w:p>
        </w:tc>
        <w:tc>
          <w:tcPr>
            <w:tcW w:type="dxa" w:w="2560"/>
            <w:tcMar>
              <w:top w:w="80" w:type="dxa"/>
              <w:start w:w="120" w:type="dxa"/>
              <w:bottom w:w="80" w:type="dxa"/>
              <w:end w:w="120" w:type="dxa"/>
            </w:tcMar>
            <w:vAlign w:val="center"/>
          </w:tcPr>
          <w:p>
            <w:pPr>
              <w:pStyle w:val="TableText"/>
              <w:jc w:val="center"/>
            </w:pPr>
            <w:r>
              <w:t>[INSERT AMOUNT]</w:t>
            </w:r>
          </w:p>
        </w:tc>
      </w:tr>
      <w:tr>
        <w:trPr>
          <w:cantSplit/>
        </w:trPr>
        <w:tc>
          <w:tcPr>
            <w:tcW w:type="dxa" w:w="6800"/>
            <w:tcMar>
              <w:top w:w="80" w:type="dxa"/>
              <w:start w:w="120" w:type="dxa"/>
              <w:bottom w:w="80" w:type="dxa"/>
              <w:end w:w="120" w:type="dxa"/>
            </w:tcMar>
            <w:vAlign w:val="center"/>
          </w:tcPr>
          <w:p>
            <w:pPr>
              <w:pStyle w:val="TableText"/>
              <w:jc w:val="left"/>
            </w:pPr>
            <w:r>
              <w:t>Reports, forms, and document templates</w:t>
            </w:r>
          </w:p>
        </w:tc>
        <w:tc>
          <w:tcPr>
            <w:tcW w:type="dxa" w:w="2560"/>
            <w:tcMar>
              <w:top w:w="80" w:type="dxa"/>
              <w:start w:w="120" w:type="dxa"/>
              <w:bottom w:w="80" w:type="dxa"/>
              <w:end w:w="120" w:type="dxa"/>
            </w:tcMar>
            <w:vAlign w:val="center"/>
          </w:tcPr>
          <w:p>
            <w:pPr>
              <w:pStyle w:val="TableText"/>
              <w:jc w:val="center"/>
            </w:pPr>
            <w:r>
              <w:t>[INSERT AMOUNT]</w:t>
            </w:r>
          </w:p>
        </w:tc>
      </w:tr>
      <w:tr>
        <w:trPr>
          <w:cantSplit/>
        </w:trPr>
        <w:tc>
          <w:tcPr>
            <w:tcW w:type="dxa" w:w="6800"/>
            <w:tcMar>
              <w:top w:w="80" w:type="dxa"/>
              <w:start w:w="120" w:type="dxa"/>
              <w:bottom w:w="80" w:type="dxa"/>
              <w:end w:w="120" w:type="dxa"/>
            </w:tcMar>
            <w:vAlign w:val="center"/>
          </w:tcPr>
          <w:p>
            <w:pPr>
              <w:pStyle w:val="TableText"/>
              <w:jc w:val="left"/>
            </w:pPr>
            <w:r>
              <w:t>Biometric hardware - five units, accessories, delivery, and installation</w:t>
            </w:r>
          </w:p>
        </w:tc>
        <w:tc>
          <w:tcPr>
            <w:tcW w:type="dxa" w:w="2560"/>
            <w:tcMar>
              <w:top w:w="80" w:type="dxa"/>
              <w:start w:w="120" w:type="dxa"/>
              <w:bottom w:w="80" w:type="dxa"/>
              <w:end w:w="120" w:type="dxa"/>
            </w:tcMar>
            <w:vAlign w:val="center"/>
          </w:tcPr>
          <w:p>
            <w:pPr>
              <w:pStyle w:val="TableText"/>
              <w:jc w:val="center"/>
            </w:pPr>
            <w:r>
              <w:t>[INSERT AMOUNT]</w:t>
            </w:r>
          </w:p>
        </w:tc>
      </w:tr>
      <w:tr>
        <w:trPr>
          <w:cantSplit/>
        </w:trPr>
        <w:tc>
          <w:tcPr>
            <w:tcW w:type="dxa" w:w="6800"/>
            <w:tcMar>
              <w:top w:w="80" w:type="dxa"/>
              <w:start w:w="120" w:type="dxa"/>
              <w:bottom w:w="80" w:type="dxa"/>
              <w:end w:w="120" w:type="dxa"/>
            </w:tcMar>
            <w:vAlign w:val="center"/>
          </w:tcPr>
          <w:p>
            <w:pPr>
              <w:pStyle w:val="TableText"/>
              <w:jc w:val="left"/>
            </w:pPr>
            <w:r>
              <w:t>Deployment infrastructure and third-party licenses, if included</w:t>
            </w:r>
          </w:p>
        </w:tc>
        <w:tc>
          <w:tcPr>
            <w:tcW w:type="dxa" w:w="2560"/>
            <w:tcMar>
              <w:top w:w="80" w:type="dxa"/>
              <w:start w:w="120" w:type="dxa"/>
              <w:bottom w:w="80" w:type="dxa"/>
              <w:end w:w="120" w:type="dxa"/>
            </w:tcMar>
            <w:vAlign w:val="center"/>
          </w:tcPr>
          <w:p>
            <w:pPr>
              <w:pStyle w:val="TableText"/>
              <w:jc w:val="center"/>
            </w:pPr>
            <w:r>
              <w:t>[INSERT AMOUNT]</w:t>
            </w:r>
          </w:p>
        </w:tc>
      </w:tr>
      <w:tr>
        <w:trPr>
          <w:cantSplit/>
        </w:trPr>
        <w:tc>
          <w:tcPr>
            <w:tcW w:type="dxa" w:w="6800"/>
            <w:tcMar>
              <w:top w:w="80" w:type="dxa"/>
              <w:start w:w="120" w:type="dxa"/>
              <w:bottom w:w="80" w:type="dxa"/>
              <w:end w:w="120" w:type="dxa"/>
            </w:tcMar>
            <w:vAlign w:val="center"/>
          </w:tcPr>
          <w:p>
            <w:pPr>
              <w:pStyle w:val="TableText"/>
              <w:jc w:val="left"/>
            </w:pPr>
            <w:r>
              <w:t>Training, documentation, and knowledge transfer</w:t>
            </w:r>
          </w:p>
        </w:tc>
        <w:tc>
          <w:tcPr>
            <w:tcW w:type="dxa" w:w="2560"/>
            <w:tcMar>
              <w:top w:w="80" w:type="dxa"/>
              <w:start w:w="120" w:type="dxa"/>
              <w:bottom w:w="80" w:type="dxa"/>
              <w:end w:w="120" w:type="dxa"/>
            </w:tcMar>
            <w:vAlign w:val="center"/>
          </w:tcPr>
          <w:p>
            <w:pPr>
              <w:pStyle w:val="TableText"/>
              <w:jc w:val="center"/>
            </w:pPr>
            <w:r>
              <w:t>[INSERT AMOUNT]</w:t>
            </w:r>
          </w:p>
        </w:tc>
      </w:tr>
      <w:tr>
        <w:trPr>
          <w:cantSplit/>
        </w:trPr>
        <w:tc>
          <w:tcPr>
            <w:tcW w:type="dxa" w:w="6800"/>
            <w:tcMar>
              <w:top w:w="80" w:type="dxa"/>
              <w:start w:w="120" w:type="dxa"/>
              <w:bottom w:w="80" w:type="dxa"/>
              <w:end w:w="120" w:type="dxa"/>
            </w:tcMar>
            <w:vAlign w:val="center"/>
          </w:tcPr>
          <w:p>
            <w:pPr>
              <w:pStyle w:val="TableText"/>
              <w:jc w:val="left"/>
            </w:pPr>
            <w:r>
              <w:t>Warranty, maintenance, and support</w:t>
            </w:r>
          </w:p>
        </w:tc>
        <w:tc>
          <w:tcPr>
            <w:tcW w:type="dxa" w:w="2560"/>
            <w:tcMar>
              <w:top w:w="80" w:type="dxa"/>
              <w:start w:w="120" w:type="dxa"/>
              <w:bottom w:w="80" w:type="dxa"/>
              <w:end w:w="120" w:type="dxa"/>
            </w:tcMar>
            <w:vAlign w:val="center"/>
          </w:tcPr>
          <w:p>
            <w:pPr>
              <w:pStyle w:val="TableText"/>
              <w:jc w:val="center"/>
            </w:pPr>
            <w:r>
              <w:t>[INSERT AMOUNT]</w:t>
            </w:r>
          </w:p>
        </w:tc>
      </w:tr>
      <w:tr>
        <w:trPr>
          <w:cantSplit/>
        </w:trPr>
        <w:tc>
          <w:tcPr>
            <w:tcW w:type="dxa" w:w="6800"/>
            <w:tcMar>
              <w:top w:w="80" w:type="dxa"/>
              <w:start w:w="120" w:type="dxa"/>
              <w:bottom w:w="80" w:type="dxa"/>
              <w:end w:w="120" w:type="dxa"/>
            </w:tcMar>
            <w:vAlign w:val="center"/>
          </w:tcPr>
          <w:p>
            <w:pPr>
              <w:pStyle w:val="TableText"/>
              <w:jc w:val="left"/>
            </w:pPr>
            <w:r>
              <w:t>Applicable taxes</w:t>
            </w:r>
          </w:p>
        </w:tc>
        <w:tc>
          <w:tcPr>
            <w:tcW w:type="dxa" w:w="2560"/>
            <w:tcMar>
              <w:top w:w="80" w:type="dxa"/>
              <w:start w:w="120" w:type="dxa"/>
              <w:bottom w:w="80" w:type="dxa"/>
              <w:end w:w="120" w:type="dxa"/>
            </w:tcMar>
            <w:vAlign w:val="center"/>
          </w:tcPr>
          <w:p>
            <w:pPr>
              <w:pStyle w:val="TableText"/>
              <w:jc w:val="center"/>
            </w:pPr>
            <w:r>
              <w:t>[INSERT AMOUNT]</w:t>
            </w:r>
          </w:p>
        </w:tc>
      </w:tr>
      <w:tr>
        <w:trPr>
          <w:cantSplit/>
        </w:trPr>
        <w:tc>
          <w:tcPr>
            <w:tcW w:type="dxa" w:w="6800"/>
            <w:tcMar>
              <w:top w:w="80" w:type="dxa"/>
              <w:start w:w="120" w:type="dxa"/>
              <w:bottom w:w="80" w:type="dxa"/>
              <w:end w:w="120" w:type="dxa"/>
            </w:tcMar>
            <w:vAlign w:val="center"/>
          </w:tcPr>
          <w:p>
            <w:pPr>
              <w:pStyle w:val="TableText"/>
              <w:jc w:val="left"/>
            </w:pPr>
            <w:r>
              <w:t>TOTAL PROPOSAL PRICE</w:t>
            </w:r>
          </w:p>
        </w:tc>
        <w:tc>
          <w:tcPr>
            <w:tcW w:type="dxa" w:w="2560"/>
            <w:tcMar>
              <w:top w:w="80" w:type="dxa"/>
              <w:start w:w="120" w:type="dxa"/>
              <w:bottom w:w="80" w:type="dxa"/>
              <w:end w:w="120" w:type="dxa"/>
            </w:tcMar>
            <w:vAlign w:val="center"/>
          </w:tcPr>
          <w:p>
            <w:pPr>
              <w:pStyle w:val="TableText"/>
              <w:jc w:val="center"/>
            </w:pPr>
            <w:r>
              <w:t>[INSERT TOTAL]</w:t>
            </w:r>
          </w:p>
        </w:tc>
      </w:tr>
    </w:tbl>
    <w:p>
      <w:pPr>
        <w:spacing w:before="0" w:after="40"/>
      </w:pPr>
    </w:p>
    <w:p>
      <w:pPr>
        <w:pStyle w:val="Heading2"/>
      </w:pPr>
      <w:r>
        <w:t>Proposed payment milestones</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450"/>
        <w:gridCol w:w="1600"/>
        <w:gridCol w:w="3310"/>
      </w:tblGrid>
      <w:tr>
        <w:trPr>
          <w:cantSplit/>
          <w:tblHeader w:val="true"/>
        </w:trPr>
        <w:tc>
          <w:tcPr>
            <w:tcW w:type="dxa" w:w="4450"/>
            <w:tcMar>
              <w:top w:w="80" w:type="dxa"/>
              <w:start w:w="120" w:type="dxa"/>
              <w:bottom w:w="80" w:type="dxa"/>
              <w:end w:w="120" w:type="dxa"/>
            </w:tcMar>
            <w:vAlign w:val="center"/>
            <w:shd w:fill="F4F6F9" w:val="clear"/>
          </w:tcPr>
          <w:p>
            <w:pPr>
              <w:pStyle w:val="TableHeader"/>
              <w:jc w:val="left"/>
            </w:pPr>
            <w:r>
              <w:t>Milestone</w:t>
            </w:r>
          </w:p>
        </w:tc>
        <w:tc>
          <w:tcPr>
            <w:tcW w:type="dxa" w:w="1600"/>
            <w:tcMar>
              <w:top w:w="80" w:type="dxa"/>
              <w:start w:w="120" w:type="dxa"/>
              <w:bottom w:w="80" w:type="dxa"/>
              <w:end w:w="120" w:type="dxa"/>
            </w:tcMar>
            <w:vAlign w:val="center"/>
            <w:shd w:fill="F4F6F9" w:val="clear"/>
          </w:tcPr>
          <w:p>
            <w:pPr>
              <w:pStyle w:val="TableHeader"/>
              <w:jc w:val="center"/>
            </w:pPr>
            <w:r>
              <w:t>Indicative share</w:t>
            </w:r>
          </w:p>
        </w:tc>
        <w:tc>
          <w:tcPr>
            <w:tcW w:type="dxa" w:w="3310"/>
            <w:tcMar>
              <w:top w:w="80" w:type="dxa"/>
              <w:start w:w="120" w:type="dxa"/>
              <w:bottom w:w="80" w:type="dxa"/>
              <w:end w:w="120" w:type="dxa"/>
            </w:tcMar>
            <w:vAlign w:val="center"/>
            <w:shd w:fill="F4F6F9" w:val="clear"/>
          </w:tcPr>
          <w:p>
            <w:pPr>
              <w:pStyle w:val="TableHeader"/>
              <w:jc w:val="left"/>
            </w:pPr>
            <w:r>
              <w:t>Payment evidence</w:t>
            </w:r>
          </w:p>
        </w:tc>
      </w:tr>
      <w:tr>
        <w:trPr>
          <w:cantSplit/>
        </w:trPr>
        <w:tc>
          <w:tcPr>
            <w:tcW w:type="dxa" w:w="4450"/>
            <w:tcMar>
              <w:top w:w="80" w:type="dxa"/>
              <w:start w:w="120" w:type="dxa"/>
              <w:bottom w:w="80" w:type="dxa"/>
              <w:end w:w="120" w:type="dxa"/>
            </w:tcMar>
            <w:vAlign w:val="center"/>
          </w:tcPr>
          <w:p>
            <w:pPr>
              <w:pStyle w:val="TableText"/>
              <w:jc w:val="left"/>
            </w:pPr>
            <w:r>
              <w:t>Contract mobilization and approved Inception Report</w:t>
            </w:r>
          </w:p>
        </w:tc>
        <w:tc>
          <w:tcPr>
            <w:tcW w:type="dxa" w:w="1600"/>
            <w:tcMar>
              <w:top w:w="80" w:type="dxa"/>
              <w:start w:w="120" w:type="dxa"/>
              <w:bottom w:w="80" w:type="dxa"/>
              <w:end w:w="120" w:type="dxa"/>
            </w:tcMar>
            <w:vAlign w:val="center"/>
          </w:tcPr>
          <w:p>
            <w:pPr>
              <w:pStyle w:val="TableText"/>
              <w:jc w:val="center"/>
            </w:pPr>
            <w:r>
              <w:t>[INSERT %]</w:t>
            </w:r>
          </w:p>
        </w:tc>
        <w:tc>
          <w:tcPr>
            <w:tcW w:type="dxa" w:w="3310"/>
            <w:tcMar>
              <w:top w:w="80" w:type="dxa"/>
              <w:start w:w="120" w:type="dxa"/>
              <w:bottom w:w="80" w:type="dxa"/>
              <w:end w:w="120" w:type="dxa"/>
            </w:tcMar>
            <w:vAlign w:val="center"/>
          </w:tcPr>
          <w:p>
            <w:pPr>
              <w:pStyle w:val="TableText"/>
              <w:jc w:val="left"/>
            </w:pPr>
            <w:r>
              <w:t>Approved deliverable and invoice requirements.</w:t>
            </w:r>
          </w:p>
        </w:tc>
      </w:tr>
      <w:tr>
        <w:trPr>
          <w:cantSplit/>
        </w:trPr>
        <w:tc>
          <w:tcPr>
            <w:tcW w:type="dxa" w:w="4450"/>
            <w:tcMar>
              <w:top w:w="80" w:type="dxa"/>
              <w:start w:w="120" w:type="dxa"/>
              <w:bottom w:w="80" w:type="dxa"/>
              <w:end w:w="120" w:type="dxa"/>
            </w:tcMar>
            <w:vAlign w:val="center"/>
          </w:tcPr>
          <w:p>
            <w:pPr>
              <w:pStyle w:val="TableText"/>
              <w:jc w:val="left"/>
            </w:pPr>
            <w:r>
              <w:t>Configured baseline and accepted migration rehearsal</w:t>
            </w:r>
          </w:p>
        </w:tc>
        <w:tc>
          <w:tcPr>
            <w:tcW w:type="dxa" w:w="1600"/>
            <w:tcMar>
              <w:top w:w="80" w:type="dxa"/>
              <w:start w:w="120" w:type="dxa"/>
              <w:bottom w:w="80" w:type="dxa"/>
              <w:end w:w="120" w:type="dxa"/>
            </w:tcMar>
            <w:vAlign w:val="center"/>
          </w:tcPr>
          <w:p>
            <w:pPr>
              <w:pStyle w:val="TableText"/>
              <w:jc w:val="center"/>
            </w:pPr>
            <w:r>
              <w:t>[INSERT %]</w:t>
            </w:r>
          </w:p>
        </w:tc>
        <w:tc>
          <w:tcPr>
            <w:tcW w:type="dxa" w:w="3310"/>
            <w:tcMar>
              <w:top w:w="80" w:type="dxa"/>
              <w:start w:w="120" w:type="dxa"/>
              <w:bottom w:w="80" w:type="dxa"/>
              <w:end w:w="120" w:type="dxa"/>
            </w:tcMar>
            <w:vAlign w:val="center"/>
          </w:tcPr>
          <w:p>
            <w:pPr>
              <w:pStyle w:val="TableText"/>
              <w:jc w:val="left"/>
            </w:pPr>
            <w:r>
              <w:t>Phase-gate approval and reconciliation report.</w:t>
            </w:r>
          </w:p>
        </w:tc>
      </w:tr>
      <w:tr>
        <w:trPr>
          <w:cantSplit/>
        </w:trPr>
        <w:tc>
          <w:tcPr>
            <w:tcW w:type="dxa" w:w="4450"/>
            <w:tcMar>
              <w:top w:w="80" w:type="dxa"/>
              <w:start w:w="120" w:type="dxa"/>
              <w:bottom w:w="80" w:type="dxa"/>
              <w:end w:w="120" w:type="dxa"/>
            </w:tcMar>
            <w:vAlign w:val="center"/>
          </w:tcPr>
          <w:p>
            <w:pPr>
              <w:pStyle w:val="TableText"/>
              <w:jc w:val="left"/>
            </w:pPr>
            <w:r>
              <w:t>Completion of priority TOR workflows</w:t>
            </w:r>
          </w:p>
        </w:tc>
        <w:tc>
          <w:tcPr>
            <w:tcW w:type="dxa" w:w="1600"/>
            <w:tcMar>
              <w:top w:w="80" w:type="dxa"/>
              <w:start w:w="120" w:type="dxa"/>
              <w:bottom w:w="80" w:type="dxa"/>
              <w:end w:w="120" w:type="dxa"/>
            </w:tcMar>
            <w:vAlign w:val="center"/>
          </w:tcPr>
          <w:p>
            <w:pPr>
              <w:pStyle w:val="TableText"/>
              <w:jc w:val="center"/>
            </w:pPr>
            <w:r>
              <w:t>[INSERT %]</w:t>
            </w:r>
          </w:p>
        </w:tc>
        <w:tc>
          <w:tcPr>
            <w:tcW w:type="dxa" w:w="3310"/>
            <w:tcMar>
              <w:top w:w="80" w:type="dxa"/>
              <w:start w:w="120" w:type="dxa"/>
              <w:bottom w:w="80" w:type="dxa"/>
              <w:end w:w="120" w:type="dxa"/>
            </w:tcMar>
            <w:vAlign w:val="center"/>
          </w:tcPr>
          <w:p>
            <w:pPr>
              <w:pStyle w:val="TableText"/>
              <w:jc w:val="left"/>
            </w:pPr>
            <w:r>
              <w:t>Demonstration and accepted test evidence.</w:t>
            </w:r>
          </w:p>
        </w:tc>
      </w:tr>
      <w:tr>
        <w:trPr>
          <w:cantSplit/>
        </w:trPr>
        <w:tc>
          <w:tcPr>
            <w:tcW w:type="dxa" w:w="4450"/>
            <w:tcMar>
              <w:top w:w="80" w:type="dxa"/>
              <w:start w:w="120" w:type="dxa"/>
              <w:bottom w:w="80" w:type="dxa"/>
              <w:end w:w="120" w:type="dxa"/>
            </w:tcMar>
            <w:vAlign w:val="center"/>
          </w:tcPr>
          <w:p>
            <w:pPr>
              <w:pStyle w:val="TableText"/>
              <w:jc w:val="left"/>
            </w:pPr>
            <w:r>
              <w:t>UAT completion and production readiness</w:t>
            </w:r>
          </w:p>
        </w:tc>
        <w:tc>
          <w:tcPr>
            <w:tcW w:type="dxa" w:w="1600"/>
            <w:tcMar>
              <w:top w:w="80" w:type="dxa"/>
              <w:start w:w="120" w:type="dxa"/>
              <w:bottom w:w="80" w:type="dxa"/>
              <w:end w:w="120" w:type="dxa"/>
            </w:tcMar>
            <w:vAlign w:val="center"/>
          </w:tcPr>
          <w:p>
            <w:pPr>
              <w:pStyle w:val="TableText"/>
              <w:jc w:val="center"/>
            </w:pPr>
            <w:r>
              <w:t>[INSERT %]</w:t>
            </w:r>
          </w:p>
        </w:tc>
        <w:tc>
          <w:tcPr>
            <w:tcW w:type="dxa" w:w="3310"/>
            <w:tcMar>
              <w:top w:w="80" w:type="dxa"/>
              <w:start w:w="120" w:type="dxa"/>
              <w:bottom w:w="80" w:type="dxa"/>
              <w:end w:w="120" w:type="dxa"/>
            </w:tcMar>
            <w:vAlign w:val="center"/>
          </w:tcPr>
          <w:p>
            <w:pPr>
              <w:pStyle w:val="TableText"/>
              <w:jc w:val="left"/>
            </w:pPr>
            <w:r>
              <w:t>Signed UAT and readiness recommendation.</w:t>
            </w:r>
          </w:p>
        </w:tc>
      </w:tr>
      <w:tr>
        <w:trPr>
          <w:cantSplit/>
        </w:trPr>
        <w:tc>
          <w:tcPr>
            <w:tcW w:type="dxa" w:w="4450"/>
            <w:tcMar>
              <w:top w:w="80" w:type="dxa"/>
              <w:start w:w="120" w:type="dxa"/>
              <w:bottom w:w="80" w:type="dxa"/>
              <w:end w:w="120" w:type="dxa"/>
            </w:tcMar>
            <w:vAlign w:val="center"/>
          </w:tcPr>
          <w:p>
            <w:pPr>
              <w:pStyle w:val="TableText"/>
              <w:jc w:val="left"/>
            </w:pPr>
            <w:r>
              <w:t>Go-live, turnover, and final acceptance</w:t>
            </w:r>
          </w:p>
        </w:tc>
        <w:tc>
          <w:tcPr>
            <w:tcW w:type="dxa" w:w="1600"/>
            <w:tcMar>
              <w:top w:w="80" w:type="dxa"/>
              <w:start w:w="120" w:type="dxa"/>
              <w:bottom w:w="80" w:type="dxa"/>
              <w:end w:w="120" w:type="dxa"/>
            </w:tcMar>
            <w:vAlign w:val="center"/>
          </w:tcPr>
          <w:p>
            <w:pPr>
              <w:pStyle w:val="TableText"/>
              <w:jc w:val="center"/>
            </w:pPr>
            <w:r>
              <w:t>[INSERT %]</w:t>
            </w:r>
          </w:p>
        </w:tc>
        <w:tc>
          <w:tcPr>
            <w:tcW w:type="dxa" w:w="3310"/>
            <w:tcMar>
              <w:top w:w="80" w:type="dxa"/>
              <w:start w:w="120" w:type="dxa"/>
              <w:bottom w:w="80" w:type="dxa"/>
              <w:end w:w="120" w:type="dxa"/>
            </w:tcMar>
            <w:vAlign w:val="center"/>
          </w:tcPr>
          <w:p>
            <w:pPr>
              <w:pStyle w:val="TableText"/>
              <w:jc w:val="left"/>
            </w:pPr>
            <w:r>
              <w:t>Production acceptance and complete turnover package.</w:t>
            </w:r>
          </w:p>
        </w:tc>
      </w:tr>
    </w:tbl>
    <w:p>
      <w:pPr>
        <w:spacing w:before="0" w:after="40"/>
      </w:pPr>
    </w:p>
    <w:p>
      <w:pPr>
        <w:pStyle w:val="SmallNote"/>
        <w:spacing w:before="0" w:after="160"/>
      </w:pPr>
      <w:r>
        <w:rPr>
          <w:rFonts w:ascii="Calibri" w:hAnsi="Calibri" w:eastAsia="Calibri"/>
          <w:b w:val="0"/>
          <w:i w:val="0"/>
        </w:rPr>
        <w:t>Payment terms are subject to the final bidding documents, government accounting and auditing rules, applicable taxes, performance security, warranty security, and the executed contract.</w:t>
      </w:r>
    </w:p>
    <w:p>
      <w:pPr>
        <w:pStyle w:val="Heading1"/>
      </w:pPr>
      <w:r>
        <w:t>12. Proposal Acceptance and Authorization</w:t>
      </w:r>
    </w:p>
    <w:p>
      <w:pPr>
        <w:spacing w:before="0" w:after="160"/>
      </w:pPr>
      <w:r>
        <w:rPr>
          <w:rFonts w:ascii="Calibri" w:hAnsi="Calibri" w:eastAsia="Calibri"/>
          <w:b w:val="0"/>
          <w:i w:val="0"/>
        </w:rPr>
        <w:t>This draft is submitted for review and completion. It does not become a binding offer until all bracketed fields, technical qualifications, schedules, prices, securities, signatures, and required procurement forms have been completed and authorized by the bidder.</w:t>
      </w:r>
    </w:p>
    <w:p>
      <w:pPr>
        <w:pStyle w:val="Heading2"/>
      </w:pPr>
      <w:r>
        <w:t>Submitted by</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700"/>
        <w:gridCol w:w="6660"/>
      </w:tblGrid>
      <w:tr>
        <w:trPr>
          <w:cantSplit/>
          <w:tblHeader w:val="true"/>
        </w:trPr>
        <w:tc>
          <w:tcPr>
            <w:tcW w:type="dxa" w:w="2700"/>
            <w:tcMar>
              <w:top w:w="80" w:type="dxa"/>
              <w:start w:w="120" w:type="dxa"/>
              <w:bottom w:w="80" w:type="dxa"/>
              <w:end w:w="120" w:type="dxa"/>
            </w:tcMar>
            <w:vAlign w:val="center"/>
            <w:shd w:fill="F4F6F9" w:val="clear"/>
          </w:tcPr>
          <w:p>
            <w:pPr>
              <w:pStyle w:val="TableHeader"/>
              <w:jc w:val="left"/>
            </w:pPr>
            <w:r>
              <w:t>Field</w:t>
            </w:r>
          </w:p>
        </w:tc>
        <w:tc>
          <w:tcPr>
            <w:tcW w:type="dxa" w:w="6660"/>
            <w:tcMar>
              <w:top w:w="80" w:type="dxa"/>
              <w:start w:w="120" w:type="dxa"/>
              <w:bottom w:w="80" w:type="dxa"/>
              <w:end w:w="120" w:type="dxa"/>
            </w:tcMar>
            <w:vAlign w:val="center"/>
            <w:shd w:fill="F4F6F9" w:val="clear"/>
          </w:tcPr>
          <w:p>
            <w:pPr>
              <w:pStyle w:val="TableHeader"/>
              <w:jc w:val="left"/>
            </w:pPr>
            <w:r>
              <w:t>Authorized bidder information</w:t>
            </w:r>
          </w:p>
        </w:tc>
      </w:tr>
      <w:tr>
        <w:trPr>
          <w:cantSplit/>
        </w:trPr>
        <w:tc>
          <w:tcPr>
            <w:tcW w:type="dxa" w:w="2700"/>
            <w:tcMar>
              <w:top w:w="80" w:type="dxa"/>
              <w:start w:w="120" w:type="dxa"/>
              <w:bottom w:w="80" w:type="dxa"/>
              <w:end w:w="120" w:type="dxa"/>
            </w:tcMar>
            <w:vAlign w:val="center"/>
          </w:tcPr>
          <w:p>
            <w:pPr>
              <w:pStyle w:val="TableText"/>
              <w:jc w:val="left"/>
            </w:pPr>
            <w:r>
              <w:t>Company / service provider</w:t>
            </w:r>
          </w:p>
        </w:tc>
        <w:tc>
          <w:tcPr>
            <w:tcW w:type="dxa" w:w="6660"/>
            <w:tcMar>
              <w:top w:w="80" w:type="dxa"/>
              <w:start w:w="120" w:type="dxa"/>
              <w:bottom w:w="80" w:type="dxa"/>
              <w:end w:w="120" w:type="dxa"/>
            </w:tcMar>
            <w:vAlign w:val="center"/>
          </w:tcPr>
          <w:p>
            <w:pPr>
              <w:pStyle w:val="TableText"/>
              <w:jc w:val="left"/>
            </w:pPr>
            <w:r>
              <w:t>[INSERT LEGAL NAME]</w:t>
            </w:r>
          </w:p>
        </w:tc>
      </w:tr>
      <w:tr>
        <w:trPr>
          <w:cantSplit/>
        </w:trPr>
        <w:tc>
          <w:tcPr>
            <w:tcW w:type="dxa" w:w="2700"/>
            <w:tcMar>
              <w:top w:w="80" w:type="dxa"/>
              <w:start w:w="120" w:type="dxa"/>
              <w:bottom w:w="80" w:type="dxa"/>
              <w:end w:w="120" w:type="dxa"/>
            </w:tcMar>
            <w:vAlign w:val="center"/>
          </w:tcPr>
          <w:p>
            <w:pPr>
              <w:pStyle w:val="TableText"/>
              <w:jc w:val="left"/>
            </w:pPr>
            <w:r>
              <w:t>Authorized representative</w:t>
            </w:r>
          </w:p>
        </w:tc>
        <w:tc>
          <w:tcPr>
            <w:tcW w:type="dxa" w:w="6660"/>
            <w:tcMar>
              <w:top w:w="80" w:type="dxa"/>
              <w:start w:w="120" w:type="dxa"/>
              <w:bottom w:w="80" w:type="dxa"/>
              <w:end w:w="120" w:type="dxa"/>
            </w:tcMar>
            <w:vAlign w:val="center"/>
          </w:tcPr>
          <w:p>
            <w:pPr>
              <w:pStyle w:val="TableText"/>
              <w:jc w:val="left"/>
            </w:pPr>
            <w:r>
              <w:t>[INSERT NAME]</w:t>
            </w:r>
          </w:p>
        </w:tc>
      </w:tr>
      <w:tr>
        <w:trPr>
          <w:cantSplit/>
        </w:trPr>
        <w:tc>
          <w:tcPr>
            <w:tcW w:type="dxa" w:w="2700"/>
            <w:tcMar>
              <w:top w:w="80" w:type="dxa"/>
              <w:start w:w="120" w:type="dxa"/>
              <w:bottom w:w="80" w:type="dxa"/>
              <w:end w:w="120" w:type="dxa"/>
            </w:tcMar>
            <w:vAlign w:val="center"/>
          </w:tcPr>
          <w:p>
            <w:pPr>
              <w:pStyle w:val="TableText"/>
              <w:jc w:val="left"/>
            </w:pPr>
            <w:r>
              <w:t>Position</w:t>
            </w:r>
          </w:p>
        </w:tc>
        <w:tc>
          <w:tcPr>
            <w:tcW w:type="dxa" w:w="6660"/>
            <w:tcMar>
              <w:top w:w="80" w:type="dxa"/>
              <w:start w:w="120" w:type="dxa"/>
              <w:bottom w:w="80" w:type="dxa"/>
              <w:end w:w="120" w:type="dxa"/>
            </w:tcMar>
            <w:vAlign w:val="center"/>
          </w:tcPr>
          <w:p>
            <w:pPr>
              <w:pStyle w:val="TableText"/>
              <w:jc w:val="left"/>
            </w:pPr>
            <w:r>
              <w:t>[INSERT POSITION]</w:t>
            </w:r>
          </w:p>
        </w:tc>
      </w:tr>
      <w:tr>
        <w:trPr>
          <w:cantSplit/>
        </w:trPr>
        <w:tc>
          <w:tcPr>
            <w:tcW w:type="dxa" w:w="2700"/>
            <w:tcMar>
              <w:top w:w="80" w:type="dxa"/>
              <w:start w:w="120" w:type="dxa"/>
              <w:bottom w:w="80" w:type="dxa"/>
              <w:end w:w="120" w:type="dxa"/>
            </w:tcMar>
            <w:vAlign w:val="center"/>
          </w:tcPr>
          <w:p>
            <w:pPr>
              <w:pStyle w:val="TableText"/>
              <w:jc w:val="left"/>
            </w:pPr>
            <w:r>
              <w:t>Address</w:t>
            </w:r>
          </w:p>
        </w:tc>
        <w:tc>
          <w:tcPr>
            <w:tcW w:type="dxa" w:w="6660"/>
            <w:tcMar>
              <w:top w:w="80" w:type="dxa"/>
              <w:start w:w="120" w:type="dxa"/>
              <w:bottom w:w="80" w:type="dxa"/>
              <w:end w:w="120" w:type="dxa"/>
            </w:tcMar>
            <w:vAlign w:val="center"/>
          </w:tcPr>
          <w:p>
            <w:pPr>
              <w:pStyle w:val="TableText"/>
              <w:jc w:val="left"/>
            </w:pPr>
            <w:r>
              <w:t>[INSERT ADDRESS]</w:t>
            </w:r>
          </w:p>
        </w:tc>
      </w:tr>
      <w:tr>
        <w:trPr>
          <w:cantSplit/>
        </w:trPr>
        <w:tc>
          <w:tcPr>
            <w:tcW w:type="dxa" w:w="2700"/>
            <w:tcMar>
              <w:top w:w="80" w:type="dxa"/>
              <w:start w:w="120" w:type="dxa"/>
              <w:bottom w:w="80" w:type="dxa"/>
              <w:end w:w="120" w:type="dxa"/>
            </w:tcMar>
            <w:vAlign w:val="center"/>
          </w:tcPr>
          <w:p>
            <w:pPr>
              <w:pStyle w:val="TableText"/>
              <w:jc w:val="left"/>
            </w:pPr>
            <w:r>
              <w:t>Email and telephone</w:t>
            </w:r>
          </w:p>
        </w:tc>
        <w:tc>
          <w:tcPr>
            <w:tcW w:type="dxa" w:w="6660"/>
            <w:tcMar>
              <w:top w:w="80" w:type="dxa"/>
              <w:start w:w="120" w:type="dxa"/>
              <w:bottom w:w="80" w:type="dxa"/>
              <w:end w:w="120" w:type="dxa"/>
            </w:tcMar>
            <w:vAlign w:val="center"/>
          </w:tcPr>
          <w:p>
            <w:pPr>
              <w:pStyle w:val="TableText"/>
              <w:jc w:val="left"/>
            </w:pPr>
            <w:r>
              <w:t>[INSERT CONTACT DETAILS]</w:t>
            </w:r>
          </w:p>
        </w:tc>
      </w:tr>
      <w:tr>
        <w:trPr>
          <w:cantSplit/>
        </w:trPr>
        <w:tc>
          <w:tcPr>
            <w:tcW w:type="dxa" w:w="2700"/>
            <w:tcMar>
              <w:top w:w="80" w:type="dxa"/>
              <w:start w:w="120" w:type="dxa"/>
              <w:bottom w:w="80" w:type="dxa"/>
              <w:end w:w="120" w:type="dxa"/>
            </w:tcMar>
            <w:vAlign w:val="center"/>
          </w:tcPr>
          <w:p>
            <w:pPr>
              <w:pStyle w:val="TableText"/>
              <w:jc w:val="left"/>
            </w:pPr>
            <w:r>
              <w:t>Signature</w:t>
            </w:r>
          </w:p>
        </w:tc>
        <w:tc>
          <w:tcPr>
            <w:tcW w:type="dxa" w:w="6660"/>
            <w:tcMar>
              <w:top w:w="80" w:type="dxa"/>
              <w:start w:w="120" w:type="dxa"/>
              <w:bottom w:w="80" w:type="dxa"/>
              <w:end w:w="120" w:type="dxa"/>
            </w:tcMar>
            <w:vAlign w:val="center"/>
          </w:tcPr>
          <w:p>
            <w:pPr>
              <w:pStyle w:val="TableText"/>
              <w:jc w:val="left"/>
            </w:pPr>
            <w:r/>
          </w:p>
        </w:tc>
      </w:tr>
      <w:tr>
        <w:trPr>
          <w:cantSplit/>
        </w:trPr>
        <w:tc>
          <w:tcPr>
            <w:tcW w:type="dxa" w:w="2700"/>
            <w:tcMar>
              <w:top w:w="80" w:type="dxa"/>
              <w:start w:w="120" w:type="dxa"/>
              <w:bottom w:w="80" w:type="dxa"/>
              <w:end w:w="120" w:type="dxa"/>
            </w:tcMar>
            <w:vAlign w:val="center"/>
          </w:tcPr>
          <w:p>
            <w:pPr>
              <w:pStyle w:val="TableText"/>
              <w:jc w:val="left"/>
            </w:pPr>
            <w:r>
              <w:t>Date</w:t>
            </w:r>
          </w:p>
        </w:tc>
        <w:tc>
          <w:tcPr>
            <w:tcW w:type="dxa" w:w="6660"/>
            <w:tcMar>
              <w:top w:w="80" w:type="dxa"/>
              <w:start w:w="120" w:type="dxa"/>
              <w:bottom w:w="80" w:type="dxa"/>
              <w:end w:w="120" w:type="dxa"/>
            </w:tcMar>
            <w:vAlign w:val="center"/>
          </w:tcPr>
          <w:p>
            <w:pPr>
              <w:pStyle w:val="TableText"/>
              <w:jc w:val="left"/>
            </w:pPr>
            <w:r/>
          </w:p>
        </w:tc>
      </w:tr>
    </w:tbl>
    <w:p>
      <w:pPr>
        <w:spacing w:before="0" w:after="40"/>
      </w:pPr>
    </w:p>
    <w:p>
      <w:pPr>
        <w:pStyle w:val="Heading2"/>
      </w:pPr>
      <w:r>
        <w:t>Proposal checklist before submission</w:t>
      </w:r>
    </w:p>
    <w:p>
      <w:pPr>
        <w:numPr>
          <w:ilvl w:val="0"/>
          <w:numId w:val="90"/>
        </w:numPr>
        <w:spacing w:after="80" w:line="290" w:lineRule="auto"/>
      </w:pPr>
      <w:r>
        <w:rPr>
          <w:rFonts w:ascii="Calibri" w:hAnsi="Calibri" w:eastAsia="Calibri"/>
          <w:color w:val="1F2937"/>
          <w:sz w:val="22"/>
        </w:rPr>
        <w:t>Replace every bracketed field and remove this draft instruction checklist.</w:t>
      </w:r>
    </w:p>
    <w:p>
      <w:pPr>
        <w:numPr>
          <w:ilvl w:val="0"/>
          <w:numId w:val="90"/>
        </w:numPr>
        <w:spacing w:after="80" w:line="290" w:lineRule="auto"/>
      </w:pPr>
      <w:r>
        <w:rPr>
          <w:rFonts w:ascii="Calibri" w:hAnsi="Calibri" w:eastAsia="Calibri"/>
          <w:color w:val="1F2937"/>
          <w:sz w:val="22"/>
        </w:rPr>
        <w:t>Reconcile the proposal against the final bidding documents, bid bulletins, approved budget, and required government forms.</w:t>
      </w:r>
    </w:p>
    <w:p>
      <w:pPr>
        <w:numPr>
          <w:ilvl w:val="0"/>
          <w:numId w:val="90"/>
        </w:numPr>
        <w:spacing w:after="80" w:line="290" w:lineRule="auto"/>
      </w:pPr>
      <w:r>
        <w:rPr>
          <w:rFonts w:ascii="Calibri" w:hAnsi="Calibri" w:eastAsia="Calibri"/>
          <w:color w:val="1F2937"/>
          <w:sz w:val="22"/>
        </w:rPr>
        <w:t>Confirm which unfinished features are mandatory base deliverables, optional items, or clarification matters.</w:t>
      </w:r>
    </w:p>
    <w:p>
      <w:pPr>
        <w:numPr>
          <w:ilvl w:val="0"/>
          <w:numId w:val="90"/>
        </w:numPr>
        <w:spacing w:after="80" w:line="290" w:lineRule="auto"/>
      </w:pPr>
      <w:r>
        <w:rPr>
          <w:rFonts w:ascii="Calibri" w:hAnsi="Calibri" w:eastAsia="Calibri"/>
          <w:color w:val="1F2937"/>
          <w:sz w:val="22"/>
        </w:rPr>
        <w:t>Complete the technical compliance matrix with truthful documentary support for every specification.</w:t>
      </w:r>
    </w:p>
    <w:p>
      <w:pPr>
        <w:numPr>
          <w:ilvl w:val="0"/>
          <w:numId w:val="90"/>
        </w:numPr>
        <w:spacing w:after="80" w:line="290" w:lineRule="auto"/>
      </w:pPr>
      <w:r>
        <w:rPr>
          <w:rFonts w:ascii="Calibri" w:hAnsi="Calibri" w:eastAsia="Calibri"/>
          <w:color w:val="1F2937"/>
          <w:sz w:val="22"/>
        </w:rPr>
        <w:t>Finalize the implementation schedule, biometric Bill of Quantities, commercial amounts, payment milestones, warranty, and SLA.</w:t>
      </w:r>
    </w:p>
    <w:p>
      <w:pPr>
        <w:numPr>
          <w:ilvl w:val="0"/>
          <w:numId w:val="90"/>
        </w:numPr>
        <w:spacing w:after="80" w:line="290" w:lineRule="auto"/>
      </w:pPr>
      <w:r>
        <w:rPr>
          <w:rFonts w:ascii="Calibri" w:hAnsi="Calibri" w:eastAsia="Calibri"/>
          <w:color w:val="1F2937"/>
          <w:sz w:val="22"/>
        </w:rPr>
        <w:t>Obtain legal, procurement, technical, data-privacy, security, and authorized-signatory review before submission.</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Calibri" w:hAnsi="Calibri" w:eastAsia="Calibri"/>
        <w:color w:val="667085"/>
        <w:sz w:val="17"/>
      </w:rPr>
      <w:t xml:space="preserve">Page </w:t>
    </w:r>
    <w:r>
      <w:rPr>
        <w:rFonts w:ascii="Calibri" w:hAnsi="Calibri" w:eastAsia="Calibri"/>
        <w:color w:val="667085"/>
        <w:sz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085"/>
        <w:sz w:val="17"/>
      </w:rPr>
      <w:t>Draft for Review  |  18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400"/>
      <w:gridCol w:w="3960"/>
    </w:tblGrid>
    <w:tr>
      <w:trPr>
        <w:cantSplit/>
      </w:trPr>
      <w:tc>
        <w:tcPr>
          <w:tcW w:type="dxa" w:w="5400"/>
          <w:tcMar>
            <w:top w:w="80" w:type="dxa"/>
            <w:start w:w="120" w:type="dxa"/>
            <w:bottom w:w="80" w:type="dxa"/>
            <w:end w:w="120" w:type="dxa"/>
          </w:tcMar>
          <w:vAlign w:val="center"/>
        </w:tcPr>
        <w:p>
          <w:pPr>
            <w:spacing w:after="0"/>
            <w:jc w:val="left"/>
          </w:pPr>
          <w:r>
            <w:rPr>
              <w:rFonts w:ascii="Calibri" w:hAnsi="Calibri" w:eastAsia="Calibri"/>
              <w:b/>
              <w:color w:val="667085"/>
              <w:sz w:val="17"/>
            </w:rPr>
            <w:t>STRH HRIS TECHNICAL PROPOSAL</w:t>
          </w:r>
        </w:p>
      </w:tc>
      <w:tc>
        <w:tcPr>
          <w:tcW w:type="dxa" w:w="3960"/>
          <w:tcMar>
            <w:top w:w="80" w:type="dxa"/>
            <w:start w:w="120" w:type="dxa"/>
            <w:bottom w:w="80" w:type="dxa"/>
            <w:end w:w="120" w:type="dxa"/>
          </w:tcMar>
          <w:vAlign w:val="center"/>
        </w:tcPr>
        <w:p>
          <w:pPr>
            <w:spacing w:after="0"/>
            <w:jc w:val="right"/>
          </w:pPr>
          <w:r>
            <w:rPr>
              <w:rFonts w:ascii="Calibri" w:hAnsi="Calibri" w:eastAsia="Calibri"/>
              <w:b/>
              <w:color w:val="667085"/>
              <w:sz w:val="17"/>
            </w:rPr>
            <w:t>DRAFT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80"/>
        <w:spacing w:after="80" w:line="290" w:lineRule="auto"/>
      </w:pPr>
    </w:lvl>
  </w:abstractNum>
  <w:num w:numId="90">
    <w:abstractNumId w:val="90"/>
  </w:num>
  <w:abstractNum w:abstractNumId="91">
    <w:multiLevelType w:val="singleLevel"/>
    <w:lvl w:ilvl="0">
      <w:start w:val="1"/>
      <w:numFmt w:val="decimal"/>
      <w:lvlText w:val="%1."/>
      <w:suff w:val="tab"/>
      <w:pPr>
        <w:tabs>
          <w:tab w:val="num" w:pos="540"/>
        </w:tabs>
        <w:ind w:left="540" w:hanging="280"/>
        <w:spacing w:after="80" w:line="290" w:lineRule="auto"/>
      </w:p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0"/>
      <w:contextualSpacing/>
      <w:jc w:val="left"/>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jc w:val="left"/>
    </w:pPr>
    <w:rPr>
      <w:rFonts w:asciiTheme="majorHAnsi" w:eastAsiaTheme="majorEastAsia" w:hAnsiTheme="majorHAnsi" w:cstheme="majorBidi" w:ascii="Calibri" w:hAnsi="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Kicker">
    <w:name w:val="Proposal Kicker"/>
    <w:pPr>
      <w:keepNext/>
      <w:spacing w:after="80"/>
    </w:pPr>
    <w:rPr>
      <w:rFonts w:ascii="Calibri" w:hAnsi="Calibri"/>
      <w:b/>
      <w:color w:val="0033A0"/>
      <w:sz w:val="20"/>
    </w:rPr>
  </w:style>
  <w:style w:type="paragraph" w:customStyle="1" w:styleId="TableText">
    <w:name w:val="Table Text"/>
    <w:pPr>
      <w:spacing w:before="0" w:after="40" w:line="264" w:lineRule="auto"/>
    </w:pPr>
    <w:rPr>
      <w:rFonts w:ascii="Calibri" w:hAnsi="Calibri"/>
      <w:color w:val="1F2937"/>
      <w:sz w:val="19"/>
    </w:rPr>
  </w:style>
  <w:style w:type="paragraph" w:customStyle="1" w:styleId="TableHeader">
    <w:name w:val="Table Header"/>
    <w:pPr>
      <w:spacing w:before="0" w:after="0" w:line="252" w:lineRule="auto"/>
    </w:pPr>
    <w:rPr>
      <w:rFonts w:ascii="Calibri" w:hAnsi="Calibri"/>
      <w:b/>
      <w:color w:val="1F4D78"/>
      <w:sz w:val="19"/>
    </w:rPr>
  </w:style>
  <w:style w:type="paragraph" w:customStyle="1" w:styleId="Callout">
    <w:name w:val="Callout"/>
    <w:pPr>
      <w:spacing w:before="0" w:after="0" w:line="288" w:lineRule="auto"/>
    </w:pPr>
    <w:rPr>
      <w:rFonts w:ascii="Calibri" w:hAnsi="Calibri"/>
      <w:color w:val="1F4D78"/>
      <w:sz w:val="21"/>
    </w:rPr>
  </w:style>
  <w:style w:type="paragraph" w:customStyle="1" w:styleId="SmallNote">
    <w:name w:val="Small Note"/>
    <w:pPr>
      <w:spacing w:before="0" w:after="80" w:line="264" w:lineRule="auto"/>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STRH HRIS Technical and Implementation Proposal</dc:title>
  <dc:subject>TOR-aligned proposal for the development, customization, deployment, and support of an HRIS</dc:subject>
  <dc:creator>[INSERT BIDDER / SERVICE PROVIDER NAME]</dc:creator>
  <cp:keywords>STRH, HRIS, technical proposal, implementation, DOH</cp:keywords>
  <dc:description>Draft for review. Replace all bracketed fields before submission.</dc:description>
  <cp:lastModifiedBy/>
  <cp:revision>1</cp:revision>
  <dcterms:created xsi:type="dcterms:W3CDTF">2013-12-23T23:15:00Z</dcterms:created>
  <dcterms:modified xsi:type="dcterms:W3CDTF">2013-12-23T23:15:00Z</dcterms:modified>
  <cp:category/>
</cp:coreProperties>
</file>