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Predictive Forecasting of Care Load Using SARIMA and Machine Learning</w:t>
      </w:r>
    </w:p>
    <w:p>
      <w:pPr>
        <w:pStyle w:val="BodyText"/>
      </w:pPr>
      <w:r>
        <w:rPr>
          <w:b/>
          <w:bCs/>
        </w:rPr>
        <w:t xml:space="preserve">Author:</w:t>
      </w:r>
      <w:r>
        <w:t xml:space="preserve"> </w:t>
      </w:r>
      <w:r>
        <w:t xml:space="preserve">Blessy Margreat Priscilla J</w:t>
      </w:r>
      <w:r>
        <w:br/>
      </w:r>
      <w:r>
        <w:rPr>
          <w:b/>
          <w:bCs/>
        </w:rPr>
        <w:t xml:space="preserve">Date:</w:t>
      </w:r>
      <w:r>
        <w:t xml:space="preserve"> </w:t>
      </w:r>
      <w:r>
        <w:t xml:space="preserve">03-03-2026</w:t>
      </w:r>
    </w:p>
    <w:p>
      <w:r>
        <w:pict>
          <v:rect style="width:0;height:1.5pt" o:hralign="center" o:hrstd="t" o:hr="t"/>
        </w:pict>
      </w:r>
    </w:p>
    <w:bookmarkStart w:id="20" w:name="abstract"/>
    <w:p>
      <w:pPr>
        <w:pStyle w:val="Heading2"/>
      </w:pPr>
      <w:r>
        <w:t xml:space="preserve">Abstract</w:t>
      </w:r>
    </w:p>
    <w:p>
      <w:pPr>
        <w:pStyle w:val="FirstParagraph"/>
      </w:pPr>
      <w:r>
        <w:t xml:space="preserve">This study explores forecasting daily care load using SARIMA and machine learning models (Random Forest and Gradient Boosting). The models are evaluated using MAE, RMSE, and MAPE. Results demonstrate that SARIMA captures weekly seasonality effectively, while ensemble models provide complementary predictions, enabling proactive staffing and capacity planning.</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Accurate forecasting of daily care load is critical for optimal resource allocation, operational planning, and maintaining service quality. The aim of this study is to develop predictive models to forecast care load, identify high-risk capacity days, and provide actionable insights for staffing.</w:t>
      </w:r>
    </w:p>
    <w:p>
      <w:r>
        <w:pict>
          <v:rect style="width:0;height:1.5pt" o:hralign="center" o:hrstd="t" o:hr="t"/>
        </w:pict>
      </w:r>
    </w:p>
    <w:bookmarkEnd w:id="21"/>
    <w:bookmarkStart w:id="22" w:name="data-description"/>
    <w:p>
      <w:pPr>
        <w:pStyle w:val="Heading2"/>
      </w:pPr>
      <w:r>
        <w:t xml:space="preserve">Data Description</w:t>
      </w:r>
    </w:p>
    <w:p>
      <w:pPr>
        <w:pStyle w:val="Compact"/>
        <w:numPr>
          <w:ilvl w:val="0"/>
          <w:numId w:val="1001"/>
        </w:numPr>
      </w:pPr>
      <w:r>
        <w:rPr>
          <w:b/>
          <w:bCs/>
        </w:rPr>
        <w:t xml:space="preserve">Source:</w:t>
      </w:r>
      <w:r>
        <w:t xml:space="preserve"> </w:t>
      </w:r>
      <w:r>
        <w:t xml:space="preserve">Historical care load records</w:t>
      </w:r>
    </w:p>
    <w:p>
      <w:pPr>
        <w:pStyle w:val="Compact"/>
        <w:numPr>
          <w:ilvl w:val="0"/>
          <w:numId w:val="1001"/>
        </w:numPr>
      </w:pPr>
      <w:r>
        <w:rPr>
          <w:b/>
          <w:bCs/>
        </w:rPr>
        <w:t xml:space="preserve">Time Period:</w:t>
      </w:r>
      <w:r>
        <w:t xml:space="preserve"> </w:t>
      </w:r>
      <w:r>
        <w:t xml:space="preserve">[Specify period, e.g., Jan 2025 – Feb 2026]</w:t>
      </w:r>
    </w:p>
    <w:p>
      <w:pPr>
        <w:pStyle w:val="Compact"/>
        <w:numPr>
          <w:ilvl w:val="0"/>
          <w:numId w:val="1001"/>
        </w:numPr>
      </w:pPr>
      <w:r>
        <w:rPr>
          <w:b/>
          <w:bCs/>
        </w:rPr>
        <w:t xml:space="preserve">Features:</w:t>
      </w:r>
      <w:r>
        <w:t xml:space="preserve"> </w:t>
      </w:r>
      <w:r>
        <w:t xml:space="preserve">Date, Care Load, Net Pressure, Calendar Features (day of week, holidays)</w:t>
      </w:r>
    </w:p>
    <w:p>
      <w:pPr>
        <w:pStyle w:val="Compact"/>
        <w:numPr>
          <w:ilvl w:val="0"/>
          <w:numId w:val="1001"/>
        </w:numPr>
      </w:pPr>
      <w:r>
        <w:rPr>
          <w:b/>
          <w:bCs/>
        </w:rPr>
        <w:t xml:space="preserve">Preprocessing:</w:t>
      </w:r>
      <w:r>
        <w:t xml:space="preserve"> </w:t>
      </w:r>
      <w:r>
        <w:t xml:space="preserve">Missing values imputed using forward fill, outliers handled, lag and rolling features generated.</w:t>
      </w:r>
    </w:p>
    <w:p>
      <w:r>
        <w:pict>
          <v:rect style="width:0;height:1.5pt" o:hralign="center" o:hrstd="t" o:hr="t"/>
        </w:pict>
      </w:r>
    </w:p>
    <w:bookmarkEnd w:id="22"/>
    <w:bookmarkStart w:id="25" w:name="methodology"/>
    <w:p>
      <w:pPr>
        <w:pStyle w:val="Heading2"/>
      </w:pPr>
      <w:r>
        <w:t xml:space="preserve">Methodology</w:t>
      </w:r>
    </w:p>
    <w:bookmarkStart w:id="23" w:name="models-implemented"/>
    <w:p>
      <w:pPr>
        <w:pStyle w:val="Heading3"/>
      </w:pPr>
      <w:r>
        <w:t xml:space="preserve">Models Implemented</w:t>
      </w:r>
    </w:p>
    <w:p>
      <w:pPr>
        <w:pStyle w:val="Compact"/>
        <w:numPr>
          <w:ilvl w:val="0"/>
          <w:numId w:val="1002"/>
        </w:numPr>
      </w:pPr>
      <w:r>
        <w:rPr>
          <w:b/>
          <w:bCs/>
        </w:rPr>
        <w:t xml:space="preserve">Naive Baseline:</w:t>
      </w:r>
      <w:r>
        <w:t xml:space="preserve"> </w:t>
      </w:r>
      <w:r>
        <w:t xml:space="preserve">Predicts next day’s care load as same as previous day.</w:t>
      </w:r>
    </w:p>
    <w:p>
      <w:pPr>
        <w:pStyle w:val="Compact"/>
        <w:numPr>
          <w:ilvl w:val="0"/>
          <w:numId w:val="1002"/>
        </w:numPr>
      </w:pPr>
      <w:r>
        <w:rPr>
          <w:b/>
          <w:bCs/>
        </w:rPr>
        <w:t xml:space="preserve">SARIMA:</w:t>
      </w:r>
      <w:r>
        <w:t xml:space="preserve"> </w:t>
      </w:r>
      <w:r>
        <w:t xml:space="preserve">Seasonal ARIMA model capturing trend and weekly seasonality. Model order selected based on AIC/BIC.</w:t>
      </w:r>
    </w:p>
    <w:p>
      <w:pPr>
        <w:pStyle w:val="Compact"/>
        <w:numPr>
          <w:ilvl w:val="0"/>
          <w:numId w:val="1002"/>
        </w:numPr>
      </w:pPr>
      <w:r>
        <w:rPr>
          <w:b/>
          <w:bCs/>
        </w:rPr>
        <w:t xml:space="preserve">Random Forest &amp; Gradient Boosting:</w:t>
      </w:r>
      <w:r>
        <w:t xml:space="preserve"> </w:t>
      </w:r>
      <w:r>
        <w:t xml:space="preserve">Regression models using lag features, rolling statistics, and calendar variables.</w:t>
      </w:r>
    </w:p>
    <w:bookmarkEnd w:id="23"/>
    <w:bookmarkStart w:id="24" w:name="evaluation-metrics"/>
    <w:p>
      <w:pPr>
        <w:pStyle w:val="Heading3"/>
      </w:pPr>
      <w:r>
        <w:t xml:space="preserve">Evaluation Metrics</w:t>
      </w:r>
    </w:p>
    <w:p>
      <w:pPr>
        <w:pStyle w:val="Compact"/>
        <w:numPr>
          <w:ilvl w:val="0"/>
          <w:numId w:val="1003"/>
        </w:numPr>
      </w:pPr>
      <w:r>
        <w:rPr>
          <w:b/>
          <w:bCs/>
        </w:rPr>
        <w:t xml:space="preserve">MAE (Mean Absolute Error)</w:t>
      </w:r>
    </w:p>
    <w:p>
      <w:pPr>
        <w:pStyle w:val="Compact"/>
        <w:numPr>
          <w:ilvl w:val="0"/>
          <w:numId w:val="1003"/>
        </w:numPr>
      </w:pPr>
      <w:r>
        <w:rPr>
          <w:b/>
          <w:bCs/>
        </w:rPr>
        <w:t xml:space="preserve">RMSE (Root Mean Squared Error)</w:t>
      </w:r>
    </w:p>
    <w:p>
      <w:pPr>
        <w:pStyle w:val="Compact"/>
        <w:numPr>
          <w:ilvl w:val="0"/>
          <w:numId w:val="1003"/>
        </w:numPr>
      </w:pPr>
      <w:r>
        <w:rPr>
          <w:b/>
          <w:bCs/>
        </w:rPr>
        <w:t xml:space="preserve">MAPE (Mean Absolute Percentage Error)</w:t>
      </w:r>
    </w:p>
    <w:p>
      <w:r>
        <w:pict>
          <v:rect style="width:0;height:1.5pt" o:hralign="center" o:hrstd="t" o:hr="t"/>
        </w:pict>
      </w:r>
    </w:p>
    <w:bookmarkEnd w:id="24"/>
    <w:bookmarkEnd w:id="25"/>
    <w:bookmarkStart w:id="29" w:name="results"/>
    <w:p>
      <w:pPr>
        <w:pStyle w:val="Heading2"/>
      </w:pPr>
      <w:r>
        <w:t xml:space="preserve">Results</w:t>
      </w:r>
    </w:p>
    <w:bookmarkStart w:id="26" w:name="model-performance"/>
    <w:p>
      <w:pPr>
        <w:pStyle w:val="Heading3"/>
      </w:pPr>
      <w:r>
        <w:t xml:space="preserve">Model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MAE</w:t>
            </w:r>
          </w:p>
        </w:tc>
        <w:tc>
          <w:tcPr/>
          <w:p>
            <w:pPr>
              <w:pStyle w:val="Compact"/>
            </w:pPr>
            <w:r>
              <w:t xml:space="preserve">RMSE</w:t>
            </w:r>
          </w:p>
        </w:tc>
        <w:tc>
          <w:tcPr/>
          <w:p>
            <w:pPr>
              <w:pStyle w:val="Compact"/>
            </w:pPr>
            <w:r>
              <w:t xml:space="preserve">MAPE</w:t>
            </w:r>
          </w:p>
        </w:tc>
      </w:tr>
      <w:tr>
        <w:tc>
          <w:tcPr/>
          <w:p>
            <w:pPr>
              <w:pStyle w:val="Compact"/>
            </w:pPr>
            <w:r>
              <w:t xml:space="preserve">SARIMA</w:t>
            </w:r>
          </w:p>
        </w:tc>
        <w:tc>
          <w:tcPr/>
          <w:p>
            <w:pPr>
              <w:pStyle w:val="Compact"/>
            </w:pPr>
            <w:r>
              <w:t xml:space="preserve">XX</w:t>
            </w:r>
          </w:p>
        </w:tc>
        <w:tc>
          <w:tcPr/>
          <w:p>
            <w:pPr>
              <w:pStyle w:val="Compact"/>
            </w:pPr>
            <w:r>
              <w:t xml:space="preserve">XX</w:t>
            </w:r>
          </w:p>
        </w:tc>
        <w:tc>
          <w:tcPr/>
          <w:p>
            <w:pPr>
              <w:pStyle w:val="Compact"/>
            </w:pPr>
            <w:r>
              <w:t xml:space="preserve">XX%</w:t>
            </w:r>
          </w:p>
        </w:tc>
      </w:tr>
      <w:tr>
        <w:tc>
          <w:tcPr/>
          <w:p>
            <w:pPr>
              <w:pStyle w:val="Compact"/>
            </w:pPr>
            <w:r>
              <w:t xml:space="preserve">Random Forest</w:t>
            </w:r>
          </w:p>
        </w:tc>
        <w:tc>
          <w:tcPr/>
          <w:p>
            <w:pPr>
              <w:pStyle w:val="Compact"/>
            </w:pPr>
            <w:r>
              <w:t xml:space="preserve">XX</w:t>
            </w:r>
          </w:p>
        </w:tc>
        <w:tc>
          <w:tcPr/>
          <w:p>
            <w:pPr>
              <w:pStyle w:val="Compact"/>
            </w:pPr>
            <w:r>
              <w:t xml:space="preserve">XX</w:t>
            </w:r>
          </w:p>
        </w:tc>
        <w:tc>
          <w:tcPr/>
          <w:p>
            <w:pPr>
              <w:pStyle w:val="Compact"/>
            </w:pPr>
            <w:r>
              <w:t xml:space="preserve">XX%</w:t>
            </w:r>
          </w:p>
        </w:tc>
      </w:tr>
      <w:tr>
        <w:tc>
          <w:tcPr/>
          <w:p>
            <w:pPr>
              <w:pStyle w:val="Compact"/>
            </w:pPr>
            <w:r>
              <w:t xml:space="preserve">Gradient Boosting</w:t>
            </w:r>
          </w:p>
        </w:tc>
        <w:tc>
          <w:tcPr/>
          <w:p>
            <w:pPr>
              <w:pStyle w:val="Compact"/>
            </w:pPr>
            <w:r>
              <w:t xml:space="preserve">XX</w:t>
            </w:r>
          </w:p>
        </w:tc>
        <w:tc>
          <w:tcPr/>
          <w:p>
            <w:pPr>
              <w:pStyle w:val="Compact"/>
            </w:pPr>
            <w:r>
              <w:t xml:space="preserve">XX</w:t>
            </w:r>
          </w:p>
        </w:tc>
        <w:tc>
          <w:tcPr/>
          <w:p>
            <w:pPr>
              <w:pStyle w:val="Compact"/>
            </w:pPr>
            <w:r>
              <w:t xml:space="preserve">XX%</w:t>
            </w:r>
          </w:p>
        </w:tc>
      </w:tr>
    </w:tbl>
    <w:bookmarkEnd w:id="26"/>
    <w:bookmarkStart w:id="27" w:name="forecast-visualization"/>
    <w:p>
      <w:pPr>
        <w:pStyle w:val="Heading3"/>
      </w:pPr>
      <w:r>
        <w:t xml:space="preserve">Forecast Visualization</w:t>
      </w:r>
    </w:p>
    <w:p>
      <w:pPr>
        <w:pStyle w:val="Compact"/>
        <w:numPr>
          <w:ilvl w:val="0"/>
          <w:numId w:val="1004"/>
        </w:numPr>
      </w:pPr>
      <w:r>
        <w:t xml:space="preserve">Include actual vs predicted care load plots</w:t>
      </w:r>
    </w:p>
    <w:p>
      <w:pPr>
        <w:pStyle w:val="Compact"/>
        <w:numPr>
          <w:ilvl w:val="0"/>
          <w:numId w:val="1004"/>
        </w:numPr>
      </w:pPr>
      <w:r>
        <w:t xml:space="preserve">Confidence intervals for SARIMA</w:t>
      </w:r>
    </w:p>
    <w:bookmarkEnd w:id="27"/>
    <w:bookmarkStart w:id="28" w:name="breach-probability-analysis"/>
    <w:p>
      <w:pPr>
        <w:pStyle w:val="Heading3"/>
      </w:pPr>
      <w:r>
        <w:t xml:space="preserve">Breach Probability Analysis</w:t>
      </w:r>
    </w:p>
    <w:p>
      <w:pPr>
        <w:pStyle w:val="Compact"/>
        <w:numPr>
          <w:ilvl w:val="0"/>
          <w:numId w:val="1005"/>
        </w:numPr>
      </w:pPr>
      <w:r>
        <w:t xml:space="preserve">Top 5 high-risk days identified with probability &gt; 80%</w:t>
      </w:r>
    </w:p>
    <w:p>
      <w:pPr>
        <w:pStyle w:val="Compact"/>
        <w:numPr>
          <w:ilvl w:val="0"/>
          <w:numId w:val="1005"/>
        </w:numPr>
      </w:pPr>
      <w:r>
        <w:t xml:space="preserve">Include bar chart of breach probability</w:t>
      </w:r>
    </w:p>
    <w:p>
      <w:r>
        <w:pict>
          <v:rect style="width:0;height:1.5pt" o:hralign="center" o:hrstd="t" o:hr="t"/>
        </w:pict>
      </w:r>
    </w:p>
    <w:bookmarkEnd w:id="28"/>
    <w:bookmarkEnd w:id="29"/>
    <w:bookmarkStart w:id="30" w:name="discussion"/>
    <w:p>
      <w:pPr>
        <w:pStyle w:val="Heading2"/>
      </w:pPr>
      <w:r>
        <w:t xml:space="preserve">Discussion</w:t>
      </w:r>
    </w:p>
    <w:p>
      <w:pPr>
        <w:pStyle w:val="Compact"/>
        <w:numPr>
          <w:ilvl w:val="0"/>
          <w:numId w:val="1006"/>
        </w:numPr>
      </w:pPr>
      <w:r>
        <w:t xml:space="preserve">SARIMA accurately captures trend and seasonality.</w:t>
      </w:r>
    </w:p>
    <w:p>
      <w:pPr>
        <w:pStyle w:val="Compact"/>
        <w:numPr>
          <w:ilvl w:val="0"/>
          <w:numId w:val="1006"/>
        </w:numPr>
      </w:pPr>
      <w:r>
        <w:t xml:space="preserve">Ensemble models complement SARIMA by modeling non-linear patterns.</w:t>
      </w:r>
    </w:p>
    <w:p>
      <w:pPr>
        <w:pStyle w:val="Compact"/>
        <w:numPr>
          <w:ilvl w:val="0"/>
          <w:numId w:val="1006"/>
        </w:numPr>
      </w:pPr>
      <w:r>
        <w:t xml:space="preserve">Limitations include data constraints, assumption of stationarity, and unmodeled external factors.</w:t>
      </w:r>
    </w:p>
    <w:p>
      <w:r>
        <w:pict>
          <v:rect style="width:0;height:1.5pt" o:hralign="center" o:hrstd="t" o:hr="t"/>
        </w:pict>
      </w:r>
    </w:p>
    <w:bookmarkEnd w:id="30"/>
    <w:bookmarkStart w:id="31" w:name="conclusion"/>
    <w:p>
      <w:pPr>
        <w:pStyle w:val="Heading2"/>
      </w:pPr>
      <w:r>
        <w:t xml:space="preserve">Conclusion</w:t>
      </w:r>
    </w:p>
    <w:p>
      <w:pPr>
        <w:pStyle w:val="Compact"/>
        <w:numPr>
          <w:ilvl w:val="0"/>
          <w:numId w:val="1007"/>
        </w:numPr>
      </w:pPr>
      <w:r>
        <w:t xml:space="preserve">SARIMA and ensemble models provide reliable forecasts for care load.</w:t>
      </w:r>
    </w:p>
    <w:p>
      <w:pPr>
        <w:pStyle w:val="Compact"/>
        <w:numPr>
          <w:ilvl w:val="0"/>
          <w:numId w:val="1007"/>
        </w:numPr>
      </w:pPr>
      <w:r>
        <w:t xml:space="preserve">High-risk periods can be anticipated for better staffing.</w:t>
      </w:r>
    </w:p>
    <w:p>
      <w:pPr>
        <w:pStyle w:val="Compact"/>
        <w:numPr>
          <w:ilvl w:val="0"/>
          <w:numId w:val="1007"/>
        </w:numPr>
      </w:pPr>
      <w:r>
        <w:t xml:space="preserve">Recommendations: continuous monitoring, model retraining, and integration into Streamlit dashboard for interactive forecasting.</w:t>
      </w:r>
    </w:p>
    <w:p>
      <w:r>
        <w:pict>
          <v:rect style="width:0;height:1.5pt" o:hralign="center" o:hrstd="t" o:hr="t"/>
        </w:pict>
      </w:r>
    </w:p>
    <w:bookmarkEnd w:id="31"/>
    <w:bookmarkStart w:id="32" w:name="references"/>
    <w:p>
      <w:pPr>
        <w:pStyle w:val="Heading2"/>
      </w:pPr>
      <w:r>
        <w:t xml:space="preserve">References</w:t>
      </w:r>
    </w:p>
    <w:p>
      <w:pPr>
        <w:pStyle w:val="Compact"/>
        <w:numPr>
          <w:ilvl w:val="0"/>
          <w:numId w:val="1008"/>
        </w:numPr>
      </w:pPr>
      <w:r>
        <w:t xml:space="preserve">Include any papers, books, or web sources referenced for methods or implementation.</w:t>
      </w:r>
    </w:p>
    <w:p>
      <w:r>
        <w:pict>
          <v:rect style="width:0;height:1.5pt" o:hralign="center" o:hrstd="t" o:hr="t"/>
        </w:pict>
      </w:r>
    </w:p>
    <w:bookmarkEnd w:id="32"/>
    <w:bookmarkStart w:id="33" w:name="appendices-optional"/>
    <w:p>
      <w:pPr>
        <w:pStyle w:val="Heading2"/>
      </w:pPr>
      <w:r>
        <w:t xml:space="preserve">Appendices (Optional)</w:t>
      </w:r>
    </w:p>
    <w:p>
      <w:pPr>
        <w:pStyle w:val="Compact"/>
        <w:numPr>
          <w:ilvl w:val="0"/>
          <w:numId w:val="1009"/>
        </w:numPr>
      </w:pPr>
      <w:r>
        <w:t xml:space="preserve">Additional charts, model parameters, or feature tables</w:t>
      </w:r>
    </w:p>
    <w:p>
      <w:pPr>
        <w:pStyle w:val="Compact"/>
        <w:numPr>
          <w:ilvl w:val="0"/>
          <w:numId w:val="1009"/>
        </w:numPr>
      </w:pPr>
      <w:r>
        <w:t xml:space="preserve">Code snippets for reproducibility</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2026-03-03T07:13:54Z</dcterms:created>
  <dcterms:modified xsi:type="dcterms:W3CDTF">2026-03-03T07:13:54Z</dcterms:modified>
</cp:coreProperties>
</file>

<file path=docProps/custom.xml><?xml version="1.0" encoding="utf-8"?>
<Properties xmlns="http://schemas.openxmlformats.org/officeDocument/2006/custom-properties" xmlns:vt="http://schemas.openxmlformats.org/officeDocument/2006/docPropsVTypes"/>
</file>