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140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um to mm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um to mm;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um (micrometers) and converts it to mm (millimeters)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um to mm.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um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mm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um;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um (e.g., 1000)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1000 um)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mm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 mm)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um to mm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