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08.02.2018 N 127</w:t>
              <w:br/>
              <w:t xml:space="preserve">(ред. от 20.12.2022)</w:t>
              <w:br/>
              <w:t xml:space="preserve">"Об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br/>
              <w:t xml:space="preserve">(с изм. и доп., вступ. в силу с 21.03.2023)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both"/>
      </w:pPr>
      <w:r>
        <w:rPr>
          <w:sz w:val="24"/>
        </w:rPr>
      </w:r>
    </w:p>
    <w:p>
      <w:pPr>
        <w:pStyle w:val="2"/>
        <w:jc w:val="center"/>
      </w:pPr>
      <w:r>
        <w:rPr>
          <w:sz w:val="24"/>
        </w:rPr>
        <w:t xml:space="preserve">ПОСТАНОВЛЕНИЕ</w:t>
      </w:r>
    </w:p>
    <w:p>
      <w:pPr>
        <w:pStyle w:val="2"/>
        <w:jc w:val="center"/>
      </w:pPr>
      <w:r>
        <w:rPr>
          <w:sz w:val="24"/>
        </w:rPr>
        <w:t xml:space="preserve">от 8 февраля 2018 г. N 127</w:t>
      </w:r>
    </w:p>
    <w:p>
      <w:pPr>
        <w:pStyle w:val="2"/>
        <w:jc w:val="both"/>
      </w:pPr>
      <w:r>
        <w:rPr>
          <w:sz w:val="24"/>
        </w:rPr>
      </w:r>
    </w:p>
    <w:p>
      <w:pPr>
        <w:pStyle w:val="2"/>
        <w:jc w:val="center"/>
      </w:pPr>
      <w:r>
        <w:rPr>
          <w:sz w:val="24"/>
        </w:rPr>
        <w:t xml:space="preserve">ОБ УТВЕРЖДЕНИИ ПРАВИЛ</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 А ТАКЖЕ ПЕРЕЧНЯ</w:t>
      </w:r>
    </w:p>
    <w:p>
      <w:pPr>
        <w:pStyle w:val="2"/>
        <w:jc w:val="center"/>
      </w:pPr>
      <w:r>
        <w:rPr>
          <w:sz w:val="24"/>
        </w:rPr>
        <w:t xml:space="preserve">ПОКАЗАТЕЛЕЙ КРИТЕРИЕВ ЗНАЧИМОСТИ ОБЪЕКТОВ</w:t>
      </w:r>
    </w:p>
    <w:p>
      <w:pPr>
        <w:pStyle w:val="2"/>
        <w:jc w:val="center"/>
      </w:pPr>
      <w:r>
        <w:rPr>
          <w:sz w:val="24"/>
        </w:rPr>
        <w:t xml:space="preserve">КРИТИЧЕСКОЙ ИНФОРМАЦИОННОЙ ИНФРАСТРУКТУРЫ</w:t>
      </w:r>
    </w:p>
    <w:p>
      <w:pPr>
        <w:pStyle w:val="2"/>
        <w:jc w:val="center"/>
      </w:pPr>
      <w:r>
        <w:rPr>
          <w:sz w:val="24"/>
        </w:rPr>
        <w:t xml:space="preserve">РОССИЙСКОЙ ФЕДЕРАЦИИ 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1 части 2 статьи 6</w:t>
      </w:r>
      <w:r>
        <w:rPr>
          <w:sz w:val="24"/>
        </w:rPr>
        <w:t xml:space="preserve"> Федерального закона "О безопасности критической информационной инфраструктуры Российской Федерации"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w:t>
      </w:r>
    </w:p>
    <w:p>
      <w:pPr>
        <w:pStyle w:val="0"/>
        <w:spacing w:before="240" w:lineRule="auto"/>
        <w:ind w:firstLine="540"/>
        <w:jc w:val="both"/>
      </w:pPr>
      <w:hyperlink w:history="0" w:anchor="P35" w:tooltip="ПРАВИЛА">
        <w:r>
          <w:rPr>
            <w:sz w:val="24"/>
            <w:color w:val="0000ff"/>
          </w:rPr>
          <w:t xml:space="preserve">Правила</w:t>
        </w:r>
      </w:hyperlink>
      <w:r>
        <w:rPr>
          <w:sz w:val="24"/>
        </w:rPr>
        <w:t xml:space="preserve"> категорирования объектов критической информационной инфраструктуры Российской Федерации;</w:t>
      </w:r>
    </w:p>
    <w:p>
      <w:pPr>
        <w:pStyle w:val="0"/>
        <w:spacing w:before="240" w:lineRule="auto"/>
        <w:ind w:firstLine="540"/>
        <w:jc w:val="both"/>
      </w:pPr>
      <w:hyperlink w:history="0" w:anchor="P175" w:tooltip="ПЕРЕЧЕНЬ">
        <w:r>
          <w:rPr>
            <w:sz w:val="24"/>
            <w:color w:val="0000ff"/>
          </w:rPr>
          <w:t xml:space="preserve">перечень</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w:t>
      </w:r>
    </w:p>
    <w:p>
      <w:pPr>
        <w:pStyle w:val="0"/>
        <w:spacing w:before="240" w:lineRule="auto"/>
        <w:ind w:firstLine="540"/>
        <w:jc w:val="both"/>
      </w:pPr>
      <w:r>
        <w:rPr>
          <w:sz w:val="24"/>
        </w:rPr>
        <w:t xml:space="preserve">2. Финансирование расходов, связанных с реализацией настоящего постановления государственными органами и государственными учреждениями, осуществляется за счет и в пределах бюджетных ассигнований, предусмотренных соответствующим бюджетом на обеспечение деятельности субъектов критической информационной инфраструктуры.</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Д.МЕДВЕДЕВ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35" w:name="P35"/>
    <w:bookmarkEnd w:id="35"/>
    <w:p>
      <w:pPr>
        <w:pStyle w:val="2"/>
        <w:jc w:val="center"/>
      </w:pPr>
      <w:r>
        <w:rPr>
          <w:sz w:val="24"/>
        </w:rPr>
        <w:t xml:space="preserve">ПРАВИЛА</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Настоящие Правила устанавливают порядок и сроки категорирования объектов критической информационной инфраструктуры Российской Федерации (далее соответственно - критическая информационная инфраструктура, категорирование).</w:t>
      </w:r>
    </w:p>
    <w:p>
      <w:pPr>
        <w:pStyle w:val="0"/>
        <w:spacing w:before="240" w:lineRule="auto"/>
        <w:ind w:firstLine="540"/>
        <w:jc w:val="both"/>
      </w:pPr>
      <w:r>
        <w:rPr>
          <w:sz w:val="24"/>
        </w:rPr>
        <w:t xml:space="preserve">2. Категорирование осуществляется субъектами критической информационной инфраструктуры в отношении принадлежащих им на праве собственности, аренды или ином законном основании объектов критической информационной инфраструктуры.</w:t>
      </w:r>
    </w:p>
    <w:bookmarkStart w:id="44" w:name="P44"/>
    <w:bookmarkEnd w:id="44"/>
    <w:p>
      <w:pPr>
        <w:pStyle w:val="0"/>
        <w:spacing w:before="240" w:lineRule="auto"/>
        <w:ind w:firstLine="540"/>
        <w:jc w:val="both"/>
      </w:pPr>
      <w:r>
        <w:rPr>
          <w:sz w:val="24"/>
        </w:rPr>
        <w:t xml:space="preserve">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w:t>
      </w:r>
      <w:r>
        <w:rPr>
          <w:sz w:val="24"/>
        </w:rPr>
        <w:t xml:space="preserve">пунктом 8 статьи 2</w:t>
      </w:r>
      <w:r>
        <w:rPr>
          <w:sz w:val="24"/>
        </w:rPr>
        <w:t xml:space="preserve"> Федерального закона "О безопасности критической информационной инфраструктуры Российской Федерации".</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4. Определение категорий значимости объектов критической информационной инфраструктуры (далее - категория значимости) осуществляется на основании показателей критериев значимости объектов критической информационной инфраструктуры и их значений, предусмотренных </w:t>
      </w:r>
      <w:hyperlink w:history="0" w:anchor="P175" w:tooltip="ПЕРЕЧЕНЬ">
        <w:r>
          <w:rPr>
            <w:sz w:val="24"/>
            <w:color w:val="0000ff"/>
          </w:rPr>
          <w:t xml:space="preserve">перечнем</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 утвержденным постановлением Правительства Российской Федерации от 8 февраля 2018 г. N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(далее соответственно - перечень показателей критериев значимости, показатели критериев значимости).</w:t>
      </w:r>
    </w:p>
    <w:p>
      <w:pPr>
        <w:pStyle w:val="0"/>
        <w:spacing w:before="240" w:lineRule="auto"/>
        <w:ind w:firstLine="540"/>
        <w:jc w:val="both"/>
      </w:pPr>
      <w:r>
        <w:rPr>
          <w:sz w:val="24"/>
        </w:rPr>
        <w:t xml:space="preserve">5. Категорирование включает в себя:</w:t>
      </w:r>
    </w:p>
    <w:p>
      <w:pPr>
        <w:pStyle w:val="0"/>
        <w:spacing w:before="240" w:lineRule="auto"/>
        <w:ind w:firstLine="540"/>
        <w:jc w:val="both"/>
      </w:pPr>
      <w:r>
        <w:rPr>
          <w:sz w:val="24"/>
        </w:rPr>
        <w:t xml:space="preserve">а) определение процессов, указанных в </w:t>
      </w:r>
      <w:hyperlink w:history="0" w:anchor="P44"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б) выявление управленческих, технологических, производственных, финансово-экономических и (или) иных процессов в рамках выполнения функций (полномочий) или осуществления видов деятельности субъектов критической информационной инфраструктуры, нарушение и (или) прекращение которых может привести к негативным социальным, политическим, экономическим, экологическим последствиям, последствиям для обеспечения обороны страны, безопасности государства и правопорядка (далее - критические процессы);</w:t>
      </w:r>
    </w:p>
    <w:p>
      <w:pPr>
        <w:pStyle w:val="0"/>
        <w:spacing w:before="240" w:lineRule="auto"/>
        <w:ind w:firstLine="540"/>
        <w:jc w:val="both"/>
      </w:pPr>
      <w:r>
        <w:rPr>
          <w:sz w:val="24"/>
        </w:rPr>
        <w:t xml:space="preserve">в) определение объектов критической информационной инфраструктуры, которые обрабатывают информацию, необходимую для обеспечения критических процессов, и (или) осуществляют управление, контроль или мониторинг критических процессов;</w:t>
      </w:r>
    </w:p>
    <w:p>
      <w:pPr>
        <w:pStyle w:val="0"/>
        <w:spacing w:before="240" w:lineRule="auto"/>
        <w:ind w:firstLine="540"/>
        <w:jc w:val="both"/>
      </w:pPr>
      <w:r>
        <w:rPr>
          <w:sz w:val="24"/>
        </w:rPr>
        <w:t xml:space="preserve">г) формирование перечня объектов критической информационной инфраструктуры, подлежащих категорированию (далее - перечень объектов);</w:t>
      </w:r>
    </w:p>
    <w:p>
      <w:pPr>
        <w:pStyle w:val="0"/>
        <w:spacing w:before="240" w:lineRule="auto"/>
        <w:ind w:firstLine="540"/>
        <w:jc w:val="both"/>
      </w:pPr>
      <w:r>
        <w:rPr>
          <w:sz w:val="24"/>
        </w:rPr>
        <w:t xml:space="preserve">д) оценку в соответствии с </w:t>
      </w:r>
      <w:hyperlink w:history="0" w:anchor="P175" w:tooltip="ПЕРЕЧЕНЬ">
        <w:r>
          <w:rPr>
            <w:sz w:val="24"/>
            <w:color w:val="0000ff"/>
          </w:rPr>
          <w:t xml:space="preserve">перечнем</w:t>
        </w:r>
      </w:hyperlink>
      <w:r>
        <w:rPr>
          <w:sz w:val="24"/>
        </w:rPr>
        <w:t xml:space="preserve">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w:t>
      </w:r>
    </w:p>
    <w:p>
      <w:pPr>
        <w:pStyle w:val="0"/>
        <w:spacing w:before="240" w:lineRule="auto"/>
        <w:ind w:firstLine="540"/>
        <w:jc w:val="both"/>
      </w:pPr>
      <w:r>
        <w:rPr>
          <w:sz w:val="24"/>
        </w:rPr>
        <w:t xml:space="preserve">е) 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w:t>
      </w:r>
    </w:p>
    <w:p>
      <w:pPr>
        <w:pStyle w:val="0"/>
        <w:spacing w:before="240" w:lineRule="auto"/>
        <w:ind w:firstLine="540"/>
        <w:jc w:val="both"/>
      </w:pPr>
      <w:r>
        <w:rPr>
          <w:sz w:val="24"/>
        </w:rPr>
        <w:t xml:space="preserve">6. Объекту критической информационной инфраструктуры по результатам категорирования присваивается в соответствии с </w:t>
      </w:r>
      <w:hyperlink w:history="0" w:anchor="P175" w:tooltip="ПЕРЕЧЕНЬ">
        <w:r>
          <w:rPr>
            <w:sz w:val="24"/>
            <w:color w:val="0000ff"/>
          </w:rPr>
          <w:t xml:space="preserve">перечнем</w:t>
        </w:r>
      </w:hyperlink>
      <w:r>
        <w:rPr>
          <w:sz w:val="24"/>
        </w:rPr>
        <w:t xml:space="preserve"> показателей критериев значимости категория значимости с наивысшим значением.</w:t>
      </w:r>
    </w:p>
    <w:p>
      <w:pPr>
        <w:pStyle w:val="0"/>
        <w:spacing w:before="240" w:lineRule="auto"/>
        <w:ind w:firstLine="540"/>
        <w:jc w:val="both"/>
      </w:pPr>
      <w:r>
        <w:rPr>
          <w:sz w:val="24"/>
        </w:rPr>
        <w:t xml:space="preserve">Для каждого показателя критериев значимости, для которого установлено более одного значения такого показателя (территория, количество людей), оценка производится по каждому из значений показателя критериев значимости, а категория значимости присваивается по наивысшему значению такого показателя.</w:t>
      </w:r>
    </w:p>
    <w:p>
      <w:pPr>
        <w:pStyle w:val="0"/>
        <w:spacing w:before="240" w:lineRule="auto"/>
        <w:ind w:firstLine="540"/>
        <w:jc w:val="both"/>
      </w:pPr>
      <w:r>
        <w:rPr>
          <w:sz w:val="24"/>
        </w:rPr>
        <w:t xml:space="preserve">В случае если объект критической информационной инфраструктуры по одному из показателей критериев значимости отнесен к первой категории, расчет по остальным показателям критериев значимости не проводится.</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В случае если ни один из показателей критериев значимости неприменим для объекта критической информационной инфраструктуры или объект критической информационной инфраструктуры не соответствует ни одному показателю критериев значимости и их значениям, категория значимости не присваивается.</w:t>
      </w:r>
    </w:p>
    <w:p>
      <w:pPr>
        <w:pStyle w:val="0"/>
        <w:spacing w:before="240" w:lineRule="auto"/>
        <w:ind w:firstLine="540"/>
        <w:jc w:val="both"/>
      </w:pPr>
      <w:r>
        <w:rPr>
          <w:sz w:val="24"/>
        </w:rPr>
        <w:t xml:space="preserve">7. Устанавливаются 3 категории значимости. Самая высокая категория - первая, самая низкая - третья.</w:t>
      </w:r>
    </w:p>
    <w:bookmarkStart w:id="60" w:name="P60"/>
    <w:bookmarkEnd w:id="60"/>
    <w:p>
      <w:pPr>
        <w:pStyle w:val="0"/>
        <w:spacing w:before="240" w:lineRule="auto"/>
        <w:ind w:firstLine="540"/>
        <w:jc w:val="both"/>
      </w:pPr>
      <w:r>
        <w:rPr>
          <w:sz w:val="24"/>
        </w:rPr>
        <w:t xml:space="preserve">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Для создаваемого объекта критической информационной инфраструктуры, указанного в </w:t>
      </w:r>
      <w:hyperlink w:history="0" w:anchor="P60" w:tooltip="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
        <w:r>
          <w:rPr>
            <w:sz w:val="24"/>
            <w:color w:val="0000ff"/>
          </w:rPr>
          <w:t xml:space="preserve">абзаце первом</w:t>
        </w:r>
      </w:hyperlink>
      <w:r>
        <w:rPr>
          <w:sz w:val="24"/>
        </w:rPr>
        <w:t xml:space="preserve"> настоящего пункта, категория значимости может быть уточнена в ходе его проектирования.</w:t>
      </w:r>
    </w:p>
    <w:p>
      <w:pPr>
        <w:pStyle w:val="0"/>
        <w:spacing w:before="240" w:lineRule="auto"/>
        <w:ind w:firstLine="540"/>
        <w:jc w:val="both"/>
      </w:pPr>
      <w:r>
        <w:rPr>
          <w:sz w:val="24"/>
        </w:rPr>
        <w:t xml:space="preserve">9. Для объектов, принадлежащих одному субъекту критической информационной инфраструктуры, но используемых для целей контроля и управления технологическим и (или) производственным оборудованием, принадлежащим другому субъекту критической информационной инфраструктуры, категорирование осуществляется на основе исходных данных, представляемых субъектом критической информационной инфраструктуры, которому принадлежит технологическое и (или) производственное оборудование.</w:t>
      </w:r>
    </w:p>
    <w:p>
      <w:pPr>
        <w:pStyle w:val="0"/>
        <w:spacing w:before="240" w:lineRule="auto"/>
        <w:ind w:firstLine="540"/>
        <w:jc w:val="both"/>
      </w:pPr>
      <w:r>
        <w:rPr>
          <w:sz w:val="24"/>
        </w:rPr>
        <w:t xml:space="preserve">Категорирование объектов критической информационной инфраструктуры, в составе которых используются программные и (или) программно-аппаратные средства, принадлежащие и эксплуатируемые иными государственными органами, государственными учреждениями, российскими юридическими лицами или индивидуальными предпринимателями, осуществляется субъектом критической информационной инфраструктуры с учетом данных о последствиях нарушения или прекращения функционирования указанных программных и (или) программно-аппаратных средств, представляемых этими государственными органами, государственными учреждениями, российскими юридическими лицами или индивидуальными предпринимателями.</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10. Исходными данными для категорирования являются:</w:t>
      </w:r>
    </w:p>
    <w:p>
      <w:pPr>
        <w:pStyle w:val="0"/>
        <w:spacing w:before="240" w:lineRule="auto"/>
        <w:ind w:firstLine="540"/>
        <w:jc w:val="both"/>
      </w:pPr>
      <w:r>
        <w:rPr>
          <w:sz w:val="24"/>
        </w:rPr>
        <w:t xml:space="preserve">а) сведения об объекте критической информационной инфраструктуры (назначение, архитектура объекта, применяемые программные и программно-аппаратные средства, взаимодействие с другими объектами критической информационной инфраструктуры, наличие и характеристики доступа к сетям связи);</w:t>
      </w:r>
    </w:p>
    <w:p>
      <w:pPr>
        <w:pStyle w:val="0"/>
        <w:spacing w:before="240" w:lineRule="auto"/>
        <w:ind w:firstLine="540"/>
        <w:jc w:val="both"/>
      </w:pPr>
      <w:r>
        <w:rPr>
          <w:sz w:val="24"/>
        </w:rPr>
        <w:t xml:space="preserve">б) процессы, указанные в </w:t>
      </w:r>
      <w:hyperlink w:history="0" w:anchor="P44"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в) состав информации, обрабатываемой объектами критической информационной инфраструктуры, сервисы по управлению, контролю или мониторингу, предоставляемые объектами критической информационной инфраструктуры;</w:t>
      </w:r>
    </w:p>
    <w:p>
      <w:pPr>
        <w:pStyle w:val="0"/>
        <w:spacing w:before="240" w:lineRule="auto"/>
        <w:ind w:firstLine="540"/>
        <w:jc w:val="both"/>
      </w:pPr>
      <w:r>
        <w:rPr>
          <w:sz w:val="24"/>
        </w:rPr>
        <w:t xml:space="preserve">г) декларация промышленной безопасности опасного производственного объекта, декларация безопасности гидротехнического сооружения и паспорт безопасности объекта топливно-энергетического комплекса в случае, если на указанных объектах функционирует объект критической информационной инфраструктуры (если разработка указанных деклараций и паспорта безопасности предусмотрена законодательством Российской Федерации);</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 сведения о взаимодействии объекта критической информационной инфраструктуры с другими объектами критической информационной инфраструктуры и (или) о зависимости функционирования объекта критической информационной инфраструктуры от других таких объектов;</w:t>
      </w:r>
    </w:p>
    <w:p>
      <w:pPr>
        <w:pStyle w:val="0"/>
        <w:spacing w:before="240" w:lineRule="auto"/>
        <w:ind w:firstLine="540"/>
        <w:jc w:val="both"/>
      </w:pPr>
      <w:r>
        <w:rPr>
          <w:sz w:val="24"/>
        </w:rPr>
        <w:t xml:space="preserve">е) угрозы безопасности информации в отношении объекта критической информационной инфраструктуры, а также имеющиеся данные, в том числе статистические, о компьютерных инцидентах, произошедших ранее на объектах критической информационной инфраструктуры соответствующего типа;</w:t>
      </w:r>
    </w:p>
    <w:p>
      <w:pPr>
        <w:pStyle w:val="0"/>
        <w:spacing w:before="240" w:lineRule="auto"/>
        <w:ind w:firstLine="540"/>
        <w:jc w:val="both"/>
      </w:pPr>
      <w:r>
        <w:rPr>
          <w:sz w:val="24"/>
        </w:rPr>
        <w:t xml:space="preserve">ж) перечни типовых отраслевых объектов критической информационной инфраструктуры, которые могут формироваться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 (при наличии).</w:t>
      </w:r>
    </w:p>
    <w:p>
      <w:pPr>
        <w:pStyle w:val="0"/>
        <w:jc w:val="both"/>
      </w:pPr>
      <w:r>
        <w:rPr>
          <w:sz w:val="24"/>
        </w:rPr>
        <w:t xml:space="preserve">(пп. "ж" введен </w:t>
      </w:r>
      <w:r>
        <w:rPr>
          <w:sz w:val="24"/>
        </w:rPr>
        <w:t xml:space="preserve">Постановлением</w:t>
      </w:r>
      <w:r>
        <w:rPr>
          <w:sz w:val="24"/>
        </w:rPr>
        <w:t xml:space="preserve"> Правительства РФ от 20.12.2022 N 2360)</w:t>
      </w:r>
    </w:p>
    <w:bookmarkStart w:id="76" w:name="P76"/>
    <w:bookmarkEnd w:id="76"/>
    <w:p>
      <w:pPr>
        <w:pStyle w:val="0"/>
        <w:spacing w:before="240" w:lineRule="auto"/>
        <w:ind w:firstLine="540"/>
        <w:jc w:val="both"/>
      </w:pPr>
      <w:r>
        <w:rPr>
          <w:sz w:val="24"/>
        </w:rPr>
        <w:t xml:space="preserve">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а)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б) работники субъекта критической информационной инфраструктуры, являющиеся специалистами в области выполняемых функций или осуществляемых видов деятельности, и в области информационных технологий и связи, а также специалисты по эксплуатации основного технологического оборудования, технологической (промышленной) безопасности, контролю за опасными веществами и материалами, учету опасных веществ и материалов;</w:t>
      </w:r>
    </w:p>
    <w:p>
      <w:pPr>
        <w:pStyle w:val="0"/>
        <w:spacing w:before="240" w:lineRule="auto"/>
        <w:ind w:firstLine="540"/>
        <w:jc w:val="both"/>
      </w:pPr>
      <w:r>
        <w:rPr>
          <w:sz w:val="24"/>
        </w:rPr>
        <w:t xml:space="preserve">в) работники субъекта критической информационной инфраструктуры, на которых возложены функции обеспечения безопасности (информационной безопасности) объектов критической информационной инфраструктуры;</w:t>
      </w:r>
    </w:p>
    <w:p>
      <w:pPr>
        <w:pStyle w:val="0"/>
        <w:spacing w:before="240" w:lineRule="auto"/>
        <w:ind w:firstLine="540"/>
        <w:jc w:val="both"/>
      </w:pPr>
      <w:r>
        <w:rPr>
          <w:sz w:val="24"/>
        </w:rPr>
        <w:t xml:space="preserve">г) работники подразделения по защите государственной тайны субъекта критической информационной инфраструктуры (в случае, если объект критической информационной инфраструктуры обрабатывает информацию, составляющую государственную тайну);</w:t>
      </w:r>
    </w:p>
    <w:p>
      <w:pPr>
        <w:pStyle w:val="0"/>
        <w:spacing w:before="240" w:lineRule="auto"/>
        <w:ind w:firstLine="540"/>
        <w:jc w:val="both"/>
      </w:pPr>
      <w:r>
        <w:rPr>
          <w:sz w:val="24"/>
        </w:rPr>
        <w:t xml:space="preserve">д) работники структурного подразделения по гражданской обороне и защите от чрезвычайных ситуаций или работники, уполномоченные на решение задач в области гражданской обороны и защиты от чрезвычайных ситуаций.</w:t>
      </w:r>
    </w:p>
    <w:p>
      <w:pPr>
        <w:pStyle w:val="0"/>
        <w:spacing w:before="240" w:lineRule="auto"/>
        <w:ind w:firstLine="540"/>
        <w:jc w:val="both"/>
      </w:pPr>
      <w:r>
        <w:rPr>
          <w:sz w:val="24"/>
        </w:rPr>
        <w:t xml:space="preserve">11(1). По решению руководителя субъекта критической информационной инфраструктуры в состав комиссии могут быть включены работники не указанных в </w:t>
      </w:r>
      <w:hyperlink w:history="0" w:anchor="P76" w:tooltip="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
        <w:r>
          <w:rPr>
            <w:sz w:val="24"/>
            <w:color w:val="0000ff"/>
          </w:rPr>
          <w:t xml:space="preserve">пункте 11</w:t>
        </w:r>
      </w:hyperlink>
      <w:r>
        <w:rPr>
          <w:sz w:val="24"/>
        </w:rPr>
        <w:t xml:space="preserve"> настоящих Правил подразделений, в том числе финансово-экономического подразделения.</w:t>
      </w:r>
    </w:p>
    <w:p>
      <w:pPr>
        <w:pStyle w:val="0"/>
        <w:jc w:val="both"/>
      </w:pPr>
      <w:r>
        <w:rPr>
          <w:sz w:val="24"/>
        </w:rPr>
        <w:t xml:space="preserve">(п. 11(1)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11(2). По решению руководителя субъекта критической информационной инфраструктуры, имеющего филиалы, представительства, могут создаваться отдельные комиссии по категорированию объектов критической информационной инфраструктуры в этих филиалах, представительствах.</w:t>
      </w:r>
    </w:p>
    <w:p>
      <w:pPr>
        <w:pStyle w:val="0"/>
        <w:spacing w:before="240" w:lineRule="auto"/>
        <w:ind w:firstLine="540"/>
        <w:jc w:val="both"/>
      </w:pPr>
      <w:r>
        <w:rPr>
          <w:sz w:val="24"/>
        </w:rPr>
        <w:t xml:space="preserve">Координацию и контроль деятельности комиссий по категорированию в филиалах, представительствах осуществляет комиссия по категорированию субъекта критической информационной инфраструктуры.</w:t>
      </w:r>
    </w:p>
    <w:p>
      <w:pPr>
        <w:pStyle w:val="0"/>
        <w:jc w:val="both"/>
      </w:pPr>
      <w:r>
        <w:rPr>
          <w:sz w:val="24"/>
        </w:rPr>
        <w:t xml:space="preserve">(п. 11(2)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11(3). Комиссия по категорированию подлежит расформированию в следующих случаях:</w:t>
      </w:r>
    </w:p>
    <w:p>
      <w:pPr>
        <w:pStyle w:val="0"/>
        <w:spacing w:before="240" w:lineRule="auto"/>
        <w:ind w:firstLine="540"/>
        <w:jc w:val="both"/>
      </w:pPr>
      <w:r>
        <w:rPr>
          <w:sz w:val="24"/>
        </w:rPr>
        <w:t xml:space="preserve">а) прекращение субъектом критической информационной инфраструктуры выполнения функций (полномочий) или осуществления видов деятельности в областях (сферах), установленных </w:t>
      </w:r>
      <w:r>
        <w:rPr>
          <w:sz w:val="24"/>
        </w:rPr>
        <w:t xml:space="preserve">пунктом 8 статьи 2</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б) ликвидация, реорганизация субъекта критической информационной инфраструктуры и (или) изменение его организационно-правовой формы, в результате которых были утрачены признаки субъекта критической информационной инфраструктуры.</w:t>
      </w:r>
    </w:p>
    <w:p>
      <w:pPr>
        <w:pStyle w:val="0"/>
        <w:jc w:val="both"/>
      </w:pPr>
      <w:r>
        <w:rPr>
          <w:sz w:val="24"/>
        </w:rPr>
        <w:t xml:space="preserve">(п. 11(3)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12. В состав комиссии по категорированию могут включаться представители государственных органов и российских юридических лиц, выполняющих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государственными органами и российскими юридическими лицами.</w:t>
      </w:r>
    </w:p>
    <w:p>
      <w:pPr>
        <w:pStyle w:val="0"/>
        <w:spacing w:before="240" w:lineRule="auto"/>
        <w:ind w:firstLine="540"/>
        <w:jc w:val="both"/>
      </w:pPr>
      <w:r>
        <w:rPr>
          <w:sz w:val="24"/>
        </w:rPr>
        <w:t xml:space="preserve">13. Комиссию по категорированию возглавляет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14. Комиссия по категорированию в ходе своей работы:</w:t>
      </w:r>
    </w:p>
    <w:p>
      <w:pPr>
        <w:pStyle w:val="0"/>
        <w:spacing w:before="240" w:lineRule="auto"/>
        <w:ind w:firstLine="540"/>
        <w:jc w:val="both"/>
      </w:pPr>
      <w:r>
        <w:rPr>
          <w:sz w:val="24"/>
        </w:rPr>
        <w:t xml:space="preserve">а) определяет процессы, указанные в </w:t>
      </w:r>
      <w:hyperlink w:history="0" w:anchor="P44" w:tooltip="3. Категорированию подлежат объекты критической информационной инфраструктуры, которые обеспечивают управленческие, технологические, производственные, финансово-экономические и (или) иные процессы в рамках выполнения функций (полномочий) или осуществления видов деятельности субъектов критической информационной инфраструктуры в областях (сферах), установленных пунктом 8 статьи 2 Федерального закона &quot;О безопасности критической информационной инфраструктуры Российской Федерации&quot;.">
        <w:r>
          <w:rPr>
            <w:sz w:val="24"/>
            <w:color w:val="0000ff"/>
          </w:rPr>
          <w:t xml:space="preserve">пункте 3</w:t>
        </w:r>
      </w:hyperlink>
      <w:r>
        <w:rPr>
          <w:sz w:val="24"/>
        </w:rPr>
        <w:t xml:space="preserve"> настоящих Правил, в рамках выполнения функций (полномочий) или осуществления видов деятельности субъекта критической информационной инфраструктуры;</w:t>
      </w:r>
    </w:p>
    <w:p>
      <w:pPr>
        <w:pStyle w:val="0"/>
        <w:spacing w:before="240" w:lineRule="auto"/>
        <w:ind w:firstLine="540"/>
        <w:jc w:val="both"/>
      </w:pPr>
      <w:r>
        <w:rPr>
          <w:sz w:val="24"/>
        </w:rPr>
        <w:t xml:space="preserve">б) выявляет наличие критических процессов у субъекта критической информационной инфраструктуры;</w:t>
      </w:r>
    </w:p>
    <w:p>
      <w:pPr>
        <w:pStyle w:val="0"/>
        <w:spacing w:before="240" w:lineRule="auto"/>
        <w:ind w:firstLine="540"/>
        <w:jc w:val="both"/>
      </w:pPr>
      <w:r>
        <w:rPr>
          <w:sz w:val="24"/>
        </w:rPr>
        <w:t xml:space="preserve">в) выявляет объекты критической информационной инфраструктуры, которые обрабатывают информацию, необходимую для обеспечения выполнения критических процессов, и (или) осуществляют управление, контроль или мониторинг критических процессов, готовит предложения для включения в перечень объектов, а также оценивает необходимость категорирования вновь создаваемых информационных систем, автоматизированных систем управления, информационно-телекоммуникационных сетей;</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99" w:name="P99"/>
    <w:bookmarkEnd w:id="99"/>
    <w:p>
      <w:pPr>
        <w:pStyle w:val="0"/>
        <w:spacing w:before="240" w:lineRule="auto"/>
        <w:ind w:firstLine="540"/>
        <w:jc w:val="both"/>
      </w:pPr>
      <w:r>
        <w:rPr>
          <w:sz w:val="24"/>
        </w:rPr>
        <w:t xml:space="preserve">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w:t>
      </w:r>
    </w:p>
    <w:bookmarkStart w:id="100" w:name="P100"/>
    <w:bookmarkEnd w:id="100"/>
    <w:p>
      <w:pPr>
        <w:pStyle w:val="0"/>
        <w:spacing w:before="240" w:lineRule="auto"/>
        <w:ind w:firstLine="540"/>
        <w:jc w:val="both"/>
      </w:pPr>
      <w:r>
        <w:rPr>
          <w:sz w:val="24"/>
        </w:rPr>
        <w:t xml:space="preserve">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02" w:name="P102"/>
    <w:bookmarkEnd w:id="102"/>
    <w:p>
      <w:pPr>
        <w:pStyle w:val="0"/>
        <w:spacing w:before="240" w:lineRule="auto"/>
        <w:ind w:firstLine="540"/>
        <w:jc w:val="both"/>
      </w:pPr>
      <w:r>
        <w:rPr>
          <w:sz w:val="24"/>
        </w:rPr>
        <w:t xml:space="preserve">е) оценивает в соответствии с </w:t>
      </w:r>
      <w:hyperlink w:history="0" w:anchor="P175" w:tooltip="ПЕРЕЧЕНЬ">
        <w:r>
          <w:rPr>
            <w:sz w:val="24"/>
            <w:color w:val="0000ff"/>
          </w:rPr>
          <w:t xml:space="preserve">перечнем</w:t>
        </w:r>
      </w:hyperlink>
      <w:r>
        <w:rPr>
          <w:sz w:val="24"/>
        </w:rPr>
        <w:t xml:space="preserve">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ж) устанавливает каждому из объектов критической информационной инфраструктуры одну из категорий значимости либо принимает решение об отсутствии необходимости присвоения им категорий значимости.</w:t>
      </w:r>
    </w:p>
    <w:p>
      <w:pPr>
        <w:pStyle w:val="0"/>
        <w:spacing w:before="240" w:lineRule="auto"/>
        <w:ind w:firstLine="540"/>
        <w:jc w:val="both"/>
      </w:pPr>
      <w:r>
        <w:rPr>
          <w:sz w:val="24"/>
        </w:rPr>
        <w:t xml:space="preserve">14(1). При проведении работ, предусмотренных </w:t>
      </w:r>
      <w:hyperlink w:history="0" w:anchor="P99" w:tooltip="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
        <w:r>
          <w:rPr>
            <w:sz w:val="24"/>
            <w:color w:val="0000ff"/>
          </w:rPr>
          <w:t xml:space="preserve">подпунктами "г"</w:t>
        </w:r>
      </w:hyperlink>
      <w:r>
        <w:rPr>
          <w:sz w:val="24"/>
        </w:rPr>
        <w:t xml:space="preserve"> и </w:t>
      </w:r>
      <w:hyperlink w:history="0" w:anchor="P100" w:tooltip="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
        <w:r>
          <w:rPr>
            <w:sz w:val="24"/>
            <w:color w:val="0000ff"/>
          </w:rPr>
          <w:t xml:space="preserve">"д" пункта 14</w:t>
        </w:r>
      </w:hyperlink>
      <w:r>
        <w:rPr>
          <w:sz w:val="24"/>
        </w:rPr>
        <w:t xml:space="preserve"> настоящих Правил, должны быть рассмотрены наихудшие сценарии, учитывающие проведение целенаправленных компьютерных атак на объекты критической информационной инфраструктуры, результатом которых являются прекращение или нарушение выполнения критических процессов и нанесение максимально возможного ущерба.</w:t>
      </w:r>
    </w:p>
    <w:p>
      <w:pPr>
        <w:pStyle w:val="0"/>
        <w:jc w:val="both"/>
      </w:pPr>
      <w:r>
        <w:rPr>
          <w:sz w:val="24"/>
        </w:rPr>
        <w:t xml:space="preserve">(п. 14(1)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14(2). В случае если функционирование одного объекта критической информационной инфраструктуры зависит от функционирования другого объекта критической информационной инфраструктуры, оценка масштаба возможных последствий, предусмотренная </w:t>
      </w:r>
      <w:hyperlink w:history="0" w:anchor="P102" w:tooltip="е)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
        <w:r>
          <w:rPr>
            <w:sz w:val="24"/>
            <w:color w:val="0000ff"/>
          </w:rPr>
          <w:t xml:space="preserve">подпунктом "е" пункта 14</w:t>
        </w:r>
      </w:hyperlink>
      <w:r>
        <w:rPr>
          <w:sz w:val="24"/>
        </w:rPr>
        <w:t xml:space="preserve"> настоящих Правил, проводится исходя из предположения о прекращении или нарушении функционирования вследствие компьютерной атаки объекта критической информационной инфраструктуры, от которого зависит оцениваемый объект.</w:t>
      </w:r>
    </w:p>
    <w:p>
      <w:pPr>
        <w:pStyle w:val="0"/>
        <w:jc w:val="both"/>
      </w:pPr>
      <w:r>
        <w:rPr>
          <w:sz w:val="24"/>
        </w:rPr>
        <w:t xml:space="preserve">(п. 14(2)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14(3). В случае если осуществление критического процесса зависит от осуществления иных критических процессов, предусмотренная </w:t>
      </w:r>
      <w:hyperlink w:history="0" w:anchor="P102" w:tooltip="е)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
        <w:r>
          <w:rPr>
            <w:sz w:val="24"/>
            <w:color w:val="0000ff"/>
          </w:rPr>
          <w:t xml:space="preserve">подпунктом "е" пункта 14</w:t>
        </w:r>
      </w:hyperlink>
      <w:r>
        <w:rPr>
          <w:sz w:val="24"/>
        </w:rPr>
        <w:t xml:space="preserve"> настоящих Правил оценка проводится исходя из совокупного масштаба возможных последствий от нарушения или прекращения функционирования всех выполняемых критических процессов.</w:t>
      </w:r>
    </w:p>
    <w:p>
      <w:pPr>
        <w:pStyle w:val="0"/>
        <w:jc w:val="both"/>
      </w:pPr>
      <w:r>
        <w:rPr>
          <w:sz w:val="24"/>
        </w:rPr>
        <w:t xml:space="preserve">(п. 14(3)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15. Перечень объектов утверждается субъектом критической информационной инфраструктуры. Перечень объектов подлежит согласованию с государственным органом или российским юридическим лицом, выполняющим функции по разработке, проведению или реализации государственной политики и (или) нормативно-правовому регулированию в установленной сфере в части подведомственных им субъектов критической информационной инфраструктуры.</w:t>
      </w:r>
    </w:p>
    <w:p>
      <w:pPr>
        <w:pStyle w:val="0"/>
        <w:spacing w:before="240" w:lineRule="auto"/>
        <w:ind w:firstLine="540"/>
        <w:jc w:val="both"/>
      </w:pPr>
      <w:r>
        <w:rPr>
          <w:sz w:val="24"/>
        </w:rPr>
        <w:t xml:space="preserve">По мере необходимости указанный перечень может быть изменен в порядке, предусмотренном для его разработки и утверждения.</w:t>
      </w:r>
    </w:p>
    <w:p>
      <w:pPr>
        <w:pStyle w:val="0"/>
        <w:spacing w:before="240" w:lineRule="auto"/>
        <w:ind w:firstLine="540"/>
        <w:jc w:val="both"/>
      </w:pPr>
      <w:r>
        <w:rPr>
          <w:sz w:val="24"/>
        </w:rPr>
        <w:t xml:space="preserve">Максимальный срок категорирования не должен превышать одного года со дня утверждения субъектом критической информационной инфраструктуры перечня объектов (внесения изменений в перечень объектов).</w:t>
      </w:r>
    </w:p>
    <w:p>
      <w:pPr>
        <w:pStyle w:val="0"/>
        <w:spacing w:before="240" w:lineRule="auto"/>
        <w:ind w:firstLine="540"/>
        <w:jc w:val="both"/>
      </w:pPr>
      <w:r>
        <w:rPr>
          <w:sz w:val="24"/>
        </w:rPr>
        <w:t xml:space="preserve">Перечень объектов в течение 10 рабочих дней после утверждения направляется в печатном и электронном виде в федеральный орган исполнительной власти, уполномоченный в области обеспечения безопасности критической информационной инфраструктуры.</w:t>
      </w:r>
    </w:p>
    <w:p>
      <w:pPr>
        <w:pStyle w:val="0"/>
        <w:spacing w:before="240" w:lineRule="auto"/>
        <w:ind w:firstLine="540"/>
        <w:jc w:val="both"/>
      </w:pPr>
      <w:r>
        <w:rPr>
          <w:sz w:val="24"/>
        </w:rPr>
        <w:t xml:space="preserve">В перечень объектов в том числе включаются объекты критической информационной инфраструктуры филиалов, представительств субъекта критической информационной инфраструктуры.</w:t>
      </w:r>
    </w:p>
    <w:p>
      <w:pPr>
        <w:pStyle w:val="0"/>
        <w:jc w:val="both"/>
      </w:pPr>
      <w:r>
        <w:rPr>
          <w:sz w:val="24"/>
        </w:rPr>
        <w:t xml:space="preserve">(п. 15 в ред. </w:t>
      </w:r>
      <w:r>
        <w:rPr>
          <w:sz w:val="24"/>
        </w:rPr>
        <w:t xml:space="preserve">Постановления</w:t>
      </w:r>
      <w:r>
        <w:rPr>
          <w:sz w:val="24"/>
        </w:rPr>
        <w:t xml:space="preserve"> Правительства РФ от 13.04.2019 N 452)</w:t>
      </w:r>
    </w:p>
    <w:bookmarkStart w:id="117" w:name="P117"/>
    <w:bookmarkEnd w:id="117"/>
    <w:p>
      <w:pPr>
        <w:pStyle w:val="0"/>
        <w:spacing w:before="240" w:lineRule="auto"/>
        <w:ind w:firstLine="540"/>
        <w:jc w:val="both"/>
      </w:pPr>
      <w:r>
        <w:rPr>
          <w:sz w:val="24"/>
        </w:rPr>
        <w:t xml:space="preserve">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Допускается оформление единого акта по результатам категорирования нескольких объектов критической информационной инфраструктуры, принадлежащих одному субъекту критической информационной инфраструктуры.</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Акт подписывается членами комиссии по категорированию и утверждается руководителем субъекта критической информационной инфраструктуры.</w:t>
      </w:r>
    </w:p>
    <w:p>
      <w:pPr>
        <w:pStyle w:val="0"/>
        <w:spacing w:before="240" w:lineRule="auto"/>
        <w:ind w:firstLine="540"/>
        <w:jc w:val="both"/>
      </w:pPr>
      <w:r>
        <w:rPr>
          <w:sz w:val="24"/>
        </w:rPr>
        <w:t xml:space="preserve">Субъект критической информационной инфраструктуры обеспечивает хранение акта до вывода из эксплуатации объекта критической информационной инфраструктуры или до изменения категории значимости.</w:t>
      </w:r>
    </w:p>
    <w:bookmarkStart w:id="123" w:name="P123"/>
    <w:bookmarkEnd w:id="123"/>
    <w:p>
      <w:pPr>
        <w:pStyle w:val="0"/>
        <w:spacing w:before="240" w:lineRule="auto"/>
        <w:ind w:firstLine="540"/>
        <w:jc w:val="both"/>
      </w:pPr>
      <w:r>
        <w:rPr>
          <w:sz w:val="24"/>
        </w:rPr>
        <w:t xml:space="preserve">17. Субъект критической информационной инфраструктуры в течение 10 рабочих дней со дня утверждения акта, указанного в </w:t>
      </w:r>
      <w:hyperlink w:history="0" w:anchor="P117" w:tooltip="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
        <w:r>
          <w:rPr>
            <w:sz w:val="24"/>
            <w:color w:val="0000ff"/>
          </w:rPr>
          <w:t xml:space="preserve">пункте 16</w:t>
        </w:r>
      </w:hyperlink>
      <w:r>
        <w:rPr>
          <w:sz w:val="24"/>
        </w:rPr>
        <w:t xml:space="preserve">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25" w:name="P125"/>
    <w:bookmarkEnd w:id="125"/>
    <w:p>
      <w:pPr>
        <w:pStyle w:val="0"/>
        <w:spacing w:before="240" w:lineRule="auto"/>
        <w:ind w:firstLine="540"/>
        <w:jc w:val="both"/>
      </w:pPr>
      <w:r>
        <w:rPr>
          <w:sz w:val="24"/>
        </w:rPr>
        <w:t xml:space="preserve">а) сведения об объекте критической информационной инфраструктуры;</w:t>
      </w:r>
    </w:p>
    <w:p>
      <w:pPr>
        <w:pStyle w:val="0"/>
        <w:spacing w:before="240" w:lineRule="auto"/>
        <w:ind w:firstLine="540"/>
        <w:jc w:val="both"/>
      </w:pPr>
      <w:r>
        <w:rPr>
          <w:sz w:val="24"/>
        </w:rPr>
        <w:t xml:space="preserve">б) сведения о субъекте критической информационной инфраструктуры, которому на праве собственности, аренды или ином законном основании принадлежит объект критической информационной инфраструктуры;</w:t>
      </w:r>
    </w:p>
    <w:bookmarkStart w:id="127" w:name="P127"/>
    <w:bookmarkEnd w:id="127"/>
    <w:p>
      <w:pPr>
        <w:pStyle w:val="0"/>
        <w:spacing w:before="240" w:lineRule="auto"/>
        <w:ind w:firstLine="540"/>
        <w:jc w:val="both"/>
      </w:pPr>
      <w:r>
        <w:rPr>
          <w:sz w:val="24"/>
        </w:rPr>
        <w:t xml:space="preserve">в) сведения о взаимодействии объекта критической информационной инфраструктуры и сетей электросвязи;</w:t>
      </w:r>
    </w:p>
    <w:bookmarkStart w:id="128" w:name="P128"/>
    <w:bookmarkEnd w:id="128"/>
    <w:p>
      <w:pPr>
        <w:pStyle w:val="0"/>
        <w:spacing w:before="240" w:lineRule="auto"/>
        <w:ind w:firstLine="540"/>
        <w:jc w:val="both"/>
      </w:pPr>
      <w:r>
        <w:rPr>
          <w:sz w:val="24"/>
        </w:rPr>
        <w:t xml:space="preserve">г) сведения о лице, эксплуатирующем объект критической информационной инфраструктуры;</w:t>
      </w:r>
    </w:p>
    <w:p>
      <w:pPr>
        <w:pStyle w:val="0"/>
        <w:spacing w:before="240" w:lineRule="auto"/>
        <w:ind w:firstLine="540"/>
        <w:jc w:val="both"/>
      </w:pPr>
      <w:r>
        <w:rPr>
          <w:sz w:val="24"/>
        </w:rPr>
        <w:t xml:space="preserve">д) сведения о программных и программно-аппаратных средствах, используемых на объекте критической информационной инфраструктуры, в том числе средствах, используемых для обеспечения безопасности объекта критической информационной инфраструктуры и их сертификатах соответствия требованиям по безопасности информации (при наличии);</w:t>
      </w:r>
    </w:p>
    <w:p>
      <w:pPr>
        <w:pStyle w:val="0"/>
        <w:spacing w:before="240" w:lineRule="auto"/>
        <w:ind w:firstLine="540"/>
        <w:jc w:val="both"/>
      </w:pPr>
      <w:r>
        <w:rPr>
          <w:sz w:val="24"/>
        </w:rPr>
        <w:t xml:space="preserve">е)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w:t>
      </w:r>
    </w:p>
    <w:bookmarkStart w:id="131" w:name="P131"/>
    <w:bookmarkEnd w:id="131"/>
    <w:p>
      <w:pPr>
        <w:pStyle w:val="0"/>
        <w:spacing w:before="240" w:lineRule="auto"/>
        <w:ind w:firstLine="540"/>
        <w:jc w:val="both"/>
      </w:pPr>
      <w:r>
        <w:rPr>
          <w:sz w:val="24"/>
        </w:rPr>
        <w:t xml:space="preserve">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w:t>
      </w:r>
    </w:p>
    <w:bookmarkStart w:id="132" w:name="P132"/>
    <w:bookmarkEnd w:id="132"/>
    <w:p>
      <w:pPr>
        <w:pStyle w:val="0"/>
        <w:spacing w:before="240" w:lineRule="auto"/>
        <w:ind w:firstLine="540"/>
        <w:jc w:val="both"/>
      </w:pPr>
      <w:r>
        <w:rPr>
          <w:sz w:val="24"/>
        </w:rPr>
        <w:t xml:space="preserve">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34" w:name="P134"/>
    <w:bookmarkEnd w:id="134"/>
    <w:p>
      <w:pPr>
        <w:pStyle w:val="0"/>
        <w:spacing w:before="240" w:lineRule="auto"/>
        <w:ind w:firstLine="540"/>
        <w:jc w:val="both"/>
      </w:pPr>
      <w:r>
        <w:rPr>
          <w:sz w:val="24"/>
        </w:rPr>
        <w:t xml:space="preserve">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w:t>
      </w:r>
    </w:p>
    <w:bookmarkStart w:id="135" w:name="P135"/>
    <w:bookmarkEnd w:id="135"/>
    <w:p>
      <w:pPr>
        <w:pStyle w:val="0"/>
        <w:spacing w:before="240" w:lineRule="auto"/>
        <w:ind w:firstLine="540"/>
        <w:jc w:val="both"/>
      </w:pPr>
      <w:r>
        <w:rPr>
          <w:sz w:val="24"/>
        </w:rPr>
        <w:t xml:space="preserve">18. Сведения, указанные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и их содержание направляются в печатном и электронном виде по </w:t>
      </w:r>
      <w:r>
        <w:rPr>
          <w:sz w:val="24"/>
        </w:rPr>
        <w:t xml:space="preserve">форме</w:t>
      </w:r>
      <w:r>
        <w:rPr>
          <w:sz w:val="24"/>
        </w:rPr>
        <w:t xml:space="preserve">,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По вновь создаваемым объектам критической информационной инфраструктуры сведения, указанные в </w:t>
      </w:r>
      <w:hyperlink w:history="0" w:anchor="P125" w:tooltip="а) сведения об объекте критической информационной инфраструктуры;">
        <w:r>
          <w:rPr>
            <w:sz w:val="24"/>
            <w:color w:val="0000ff"/>
          </w:rPr>
          <w:t xml:space="preserve">подпунктах "а"</w:t>
        </w:r>
      </w:hyperlink>
      <w:r>
        <w:rPr>
          <w:sz w:val="24"/>
        </w:rPr>
        <w:t xml:space="preserve"> - </w:t>
      </w:r>
      <w:hyperlink w:history="0" w:anchor="P127" w:tooltip="в) сведения о взаимодействии объекта критической информационной инфраструктуры и сетей электросвязи;">
        <w:r>
          <w:rPr>
            <w:sz w:val="24"/>
            <w:color w:val="0000ff"/>
          </w:rPr>
          <w:t xml:space="preserve">"в"</w:t>
        </w:r>
      </w:hyperlink>
      <w:r>
        <w:rPr>
          <w:sz w:val="24"/>
        </w:rPr>
        <w:t xml:space="preserve"> и </w:t>
      </w:r>
      <w:hyperlink w:history="0" w:anchor="P132" w:tooltip="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
        <w:r>
          <w:rPr>
            <w:sz w:val="24"/>
            <w:color w:val="0000ff"/>
          </w:rPr>
          <w:t xml:space="preserve">"з" пункта 17</w:t>
        </w:r>
      </w:hyperlink>
      <w:r>
        <w:rPr>
          <w:sz w:val="24"/>
        </w:rPr>
        <w:t xml:space="preserve"> настоящих Правил, направляются в течение 10 рабочих дней после утверждения требований к создаваемому объекту критической информационной инфраструктуры, а сведения, указанные в </w:t>
      </w:r>
      <w:hyperlink w:history="0" w:anchor="P128" w:tooltip="г) сведения о лице, эксплуатирующем объект критической информационной инфраструктуры;">
        <w:r>
          <w:rPr>
            <w:sz w:val="24"/>
            <w:color w:val="0000ff"/>
          </w:rPr>
          <w:t xml:space="preserve">подпунктах "г"</w:t>
        </w:r>
      </w:hyperlink>
      <w:r>
        <w:rPr>
          <w:sz w:val="24"/>
        </w:rPr>
        <w:t xml:space="preserve"> - </w:t>
      </w:r>
      <w:hyperlink w:history="0" w:anchor="P131" w:tooltip="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
        <w:r>
          <w:rPr>
            <w:sz w:val="24"/>
            <w:color w:val="0000ff"/>
          </w:rPr>
          <w:t xml:space="preserve">"ж"</w:t>
        </w:r>
      </w:hyperlink>
      <w:r>
        <w:rPr>
          <w:sz w:val="24"/>
        </w:rPr>
        <w:t xml:space="preserve"> и </w:t>
      </w:r>
      <w:hyperlink w:history="0" w:anchor="P134" w:tooltip="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
        <w:r>
          <w:rPr>
            <w:sz w:val="24"/>
            <w:color w:val="0000ff"/>
          </w:rPr>
          <w:t xml:space="preserve">"и" пункта 17</w:t>
        </w:r>
      </w:hyperlink>
      <w:r>
        <w:rPr>
          <w:sz w:val="24"/>
        </w:rPr>
        <w:t xml:space="preserve"> настоящих Правил, - в течение 10 рабочих дней после ввода объекта критической информационной инфраструктуры в эксплуатацию (принятия на снабжение).</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19. Федеральный орган исполнительной власти, уполномоченный в области обеспечения безопасности критической информационной инфраструктуры, проверяет сведения о результатах присвоения категорий значимости в порядке, предусмотренном </w:t>
      </w:r>
      <w:r>
        <w:rPr>
          <w:sz w:val="24"/>
        </w:rPr>
        <w:t xml:space="preserve">частями 6</w:t>
      </w:r>
      <w:r>
        <w:rPr>
          <w:sz w:val="24"/>
        </w:rPr>
        <w:t xml:space="preserve"> - </w:t>
      </w:r>
      <w:r>
        <w:rPr>
          <w:sz w:val="24"/>
        </w:rPr>
        <w:t xml:space="preserve">8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19(1). В случае изменения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субъект критической информационной инфраструктуры направляет в федеральный орган исполнительной власти, уполномоченный в области обеспечения безопасности критической информационной инфраструктуры, новые сведения в печатном и электронном виде не позднее 20 рабочих дней со дня их изменения по форме, предусмотренной </w:t>
      </w:r>
      <w:hyperlink w:history="0" w:anchor="P135" w:tooltip="18. Сведения, указанные в пункте 17 настоящих Правил, и их содержание направляются в печатном и электронном виде по форме,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
        <w:r>
          <w:rPr>
            <w:sz w:val="24"/>
            <w:color w:val="0000ff"/>
          </w:rPr>
          <w:t xml:space="preserve">пунктом 18</w:t>
        </w:r>
      </w:hyperlink>
      <w:r>
        <w:rPr>
          <w:sz w:val="24"/>
        </w:rPr>
        <w:t xml:space="preserve"> настоящих Правил.</w:t>
      </w:r>
    </w:p>
    <w:p>
      <w:pPr>
        <w:pStyle w:val="0"/>
        <w:jc w:val="both"/>
      </w:pPr>
      <w:r>
        <w:rPr>
          <w:sz w:val="24"/>
        </w:rPr>
        <w:t xml:space="preserve">(п. 19(1) введен </w:t>
      </w:r>
      <w:r>
        <w:rPr>
          <w:sz w:val="24"/>
        </w:rPr>
        <w:t xml:space="preserve">Постановлением</w:t>
      </w:r>
      <w:r>
        <w:rPr>
          <w:sz w:val="24"/>
        </w:rPr>
        <w:t xml:space="preserve"> Правительства РФ от 24.12.2021 N 2431; в ред. </w:t>
      </w:r>
      <w:r>
        <w:rPr>
          <w:sz w:val="24"/>
        </w:rPr>
        <w:t xml:space="preserve">Постановления</w:t>
      </w:r>
      <w:r>
        <w:rPr>
          <w:sz w:val="24"/>
        </w:rPr>
        <w:t xml:space="preserve"> Правительства РФ от 20.12.2022 N 2360)</w:t>
      </w:r>
    </w:p>
    <w:bookmarkStart w:id="142" w:name="P142"/>
    <w:bookmarkEnd w:id="142"/>
    <w:p>
      <w:pPr>
        <w:pStyle w:val="0"/>
        <w:spacing w:before="240" w:lineRule="auto"/>
        <w:ind w:firstLine="540"/>
        <w:jc w:val="both"/>
      </w:pPr>
      <w:r>
        <w:rPr>
          <w:sz w:val="24"/>
        </w:rPr>
        <w:t xml:space="preserve">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В отношении субъектов критической информационной инфраструктуры, подведомственных государственным органам и российским юридическим лицам, указанным в </w:t>
      </w:r>
      <w:hyperlink w:history="0" w:anchor="P142"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мониторинг представления актуальных и достоверных сведений осуществляется этими государственными органами и российскими юридическими лицами.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Мониторинг осуществляется регулярно путем запроса и оценки информации о сроках представления,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Актуальность и достоверность сведений может подтверждаться государственными органами и российскими юридическими лицами, указанными в </w:t>
      </w:r>
      <w:hyperlink w:history="0" w:anchor="P142"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путем ознакомления с объектами критической информационной инфраструктуры по месту их нахождения.</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При выявлении по результатам мониторинга нарушения сроков работ по категорированию,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неактуальных либо недостоверных сведений государственные органы и российские юридические лица, указанные в </w:t>
      </w:r>
      <w:hyperlink w:history="0" w:anchor="P142"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абзаце первом</w:t>
        </w:r>
      </w:hyperlink>
      <w:r>
        <w:rPr>
          <w:sz w:val="24"/>
        </w:rPr>
        <w:t xml:space="preserve"> настоящего пункта, направляют в федеральный орган исполнительной власти, уполномоченный в области обеспечения безопасности критической информационной инфраструктуры, сведения о выявленных нарушениях в срок не позднее 30 дней со дня их выявления.</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jc w:val="both"/>
      </w:pPr>
      <w:r>
        <w:rPr>
          <w:sz w:val="24"/>
        </w:rPr>
        <w:t xml:space="preserve">(п. 19(2) введен </w:t>
      </w:r>
      <w:r>
        <w:rPr>
          <w:sz w:val="24"/>
        </w:rPr>
        <w:t xml:space="preserve">Постановлением</w:t>
      </w:r>
      <w:r>
        <w:rPr>
          <w:sz w:val="24"/>
        </w:rPr>
        <w:t xml:space="preserve"> Правительства РФ от 24.12.2021 N 2431)</w:t>
      </w:r>
    </w:p>
    <w:p>
      <w:pPr>
        <w:pStyle w:val="0"/>
        <w:spacing w:before="240" w:lineRule="auto"/>
        <w:ind w:firstLine="540"/>
        <w:jc w:val="both"/>
      </w:pPr>
      <w:r>
        <w:rPr>
          <w:sz w:val="24"/>
        </w:rPr>
        <w:t xml:space="preserve">19(3). К мониторингу, указанному в </w:t>
      </w:r>
      <w:hyperlink w:history="0" w:anchor="P142"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w:r>
          <w:rPr>
            <w:sz w:val="24"/>
            <w:color w:val="0000ff"/>
          </w:rPr>
          <w:t xml:space="preserve">пункте 19(2)</w:t>
        </w:r>
      </w:hyperlink>
      <w:r>
        <w:rPr>
          <w:sz w:val="24"/>
        </w:rPr>
        <w:t xml:space="preserve"> настоящих Правил,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могут привлекать подведомственные им организации в части оценки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Организации, привлекаемые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должны иметь в соответствии с </w:t>
      </w:r>
      <w:r>
        <w:rPr>
          <w:sz w:val="24"/>
        </w:rPr>
        <w:t xml:space="preserve">Законом</w:t>
      </w:r>
      <w:r>
        <w:rPr>
          <w:sz w:val="24"/>
        </w:rPr>
        <w:t xml:space="preserve"> Российской Федерации "О государственной тайне" лицензию на проведение работ с использованием сведений, составляющих государственную тайну, а также в соответствии с Федеральным </w:t>
      </w:r>
      <w:r>
        <w:rPr>
          <w:sz w:val="24"/>
        </w:rPr>
        <w:t xml:space="preserve">законом</w:t>
      </w:r>
      <w:r>
        <w:rPr>
          <w:sz w:val="24"/>
        </w:rPr>
        <w:t xml:space="preserve"> "О лицензировании отдельных видов деятельности" лицензию на деятельность по технической защите конфиденциальной информации в части оказания услуг по контролю защищенности конфиденциальной информации от несанкционированного доступа и ее модификации в средствах и системах информатизации и (или) услуг по мониторингу информационной безопасности средств и систем информатизации.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Состав организаций, привлекаемых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в соответствии с </w:t>
      </w:r>
      <w:r>
        <w:rPr>
          <w:sz w:val="24"/>
        </w:rPr>
        <w:t xml:space="preserve">критериями</w:t>
      </w:r>
      <w:r>
        <w:rPr>
          <w:sz w:val="24"/>
        </w:rPr>
        <w:t xml:space="preserve">, определяемыми указанными органами и российскими юридическими лицами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Перечни организаций, привлекаемых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размещаются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на их официальных сайтах в информационно-телекоммуникационной сети "Интернет".</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Порядок</w:t>
      </w:r>
      <w:r>
        <w:rPr>
          <w:sz w:val="24"/>
        </w:rPr>
        <w:t xml:space="preserve"> проведения в отношении субъектов критической информационной инфраструктуры, осуществляющих деятельность в каждой из областей (сфер), приведенных в </w:t>
      </w:r>
      <w:r>
        <w:rPr>
          <w:sz w:val="24"/>
        </w:rPr>
        <w:t xml:space="preserve">пункте 8 статьи 2</w:t>
      </w:r>
      <w:r>
        <w:rPr>
          <w:sz w:val="24"/>
        </w:rPr>
        <w:t xml:space="preserve"> Федерального закона "О безопасности критической информационной инфраструктуры Российской Федерации", оценки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jc w:val="both"/>
      </w:pPr>
      <w:r>
        <w:rPr>
          <w:sz w:val="24"/>
        </w:rPr>
        <w:t xml:space="preserve">(п. 19(3) введен </w:t>
      </w:r>
      <w:r>
        <w:rPr>
          <w:sz w:val="24"/>
        </w:rPr>
        <w:t xml:space="preserve">Постановлением</w:t>
      </w:r>
      <w:r>
        <w:rPr>
          <w:sz w:val="24"/>
        </w:rPr>
        <w:t xml:space="preserve"> Правительства РФ от 19.08.2022 N 1463)</w:t>
      </w:r>
    </w:p>
    <w:p>
      <w:pPr>
        <w:pStyle w:val="0"/>
        <w:spacing w:before="240" w:lineRule="auto"/>
        <w:ind w:firstLine="540"/>
        <w:jc w:val="both"/>
      </w:pPr>
      <w:r>
        <w:rPr>
          <w:sz w:val="24"/>
        </w:rPr>
        <w:t xml:space="preserve">20. Категория значимости может быть изменена в порядке, предусмотренном для категорирования, в случаях, предусмотренных </w:t>
      </w:r>
      <w:r>
        <w:rPr>
          <w:sz w:val="24"/>
        </w:rPr>
        <w:t xml:space="preserve">частью 12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21. Субъект критической информационной инфраструктуры не реже чем один раз в 5 лет, а также в случае изменения показателей критериев значимости объектов критической информационной инфраструктуры или их значений осуществляет пересмотр установленных категорий значимости или решений об отсутствии необходимости присвоения указанным объектам таких категорий в соответствии с настоящими Правилами. В случае изменения категории значимости сведения о результатах пересмотра категории значимости направляются в федеральный орган, уполномоченный в области обеспечения безопасности критической информационной инфраструктуры.</w:t>
      </w:r>
    </w:p>
    <w:p>
      <w:pPr>
        <w:pStyle w:val="0"/>
        <w:jc w:val="both"/>
      </w:pPr>
      <w:r>
        <w:rPr>
          <w:sz w:val="24"/>
        </w:rPr>
        <w:t xml:space="preserve">(п. 21 в ред. </w:t>
      </w:r>
      <w:r>
        <w:rPr>
          <w:sz w:val="24"/>
        </w:rPr>
        <w:t xml:space="preserve">Постановления</w:t>
      </w:r>
      <w:r>
        <w:rPr>
          <w:sz w:val="24"/>
        </w:rPr>
        <w:t xml:space="preserve"> Правительства РФ от 13.04.2019 N 452)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175" w:name="P175"/>
    <w:bookmarkEnd w:id="175"/>
    <w:p>
      <w:pPr>
        <w:pStyle w:val="2"/>
        <w:jc w:val="center"/>
      </w:pPr>
      <w:r>
        <w:rPr>
          <w:sz w:val="24"/>
        </w:rPr>
        <w:t xml:space="preserve">ПЕРЕЧЕНЬ</w:t>
      </w:r>
    </w:p>
    <w:p>
      <w:pPr>
        <w:pStyle w:val="2"/>
        <w:jc w:val="center"/>
      </w:pPr>
      <w:r>
        <w:rPr>
          <w:sz w:val="24"/>
        </w:rPr>
        <w:t xml:space="preserve">ПОКАЗАТЕЛЕЙ КРИТЕРИЕВ ЗНАЧИМОСТИ ОБЪЕКТОВ КРИТИЧЕСКОЙ</w:t>
      </w:r>
    </w:p>
    <w:p>
      <w:pPr>
        <w:pStyle w:val="2"/>
        <w:jc w:val="center"/>
      </w:pPr>
      <w:r>
        <w:rPr>
          <w:sz w:val="24"/>
        </w:rPr>
        <w:t xml:space="preserve">ИНФОРМАЦИОННОЙ ИНФРАСТРУКТУРЫ РОССИЙСКОЙ ФЕДЕРАЦИИ</w:t>
      </w:r>
    </w:p>
    <w:p>
      <w:pPr>
        <w:pStyle w:val="2"/>
        <w:jc w:val="center"/>
      </w:pPr>
      <w:r>
        <w:rPr>
          <w:sz w:val="24"/>
        </w:rPr>
        <w:t xml:space="preserve">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20.12.2022 </w:t>
            </w:r>
            <w:r>
              <w:rPr>
                <w:sz w:val="24"/>
                <w:color w:val="392c69"/>
              </w:rPr>
              <w:t xml:space="preserve">N 2360</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10"/>
        <w:gridCol w:w="2778"/>
        <w:gridCol w:w="1927"/>
        <w:gridCol w:w="1927"/>
        <w:gridCol w:w="1927"/>
      </w:tblGrid>
      <w:tr>
        <w:tblPrEx>
          <w:tblBorders>
            <w:insideV w:val="single" w:sz="4"/>
            <w:insideH w:val="single" w:sz="4"/>
          </w:tblBorders>
        </w:tblPrEx>
        <w:tc>
          <w:tcPr>
            <w:gridSpan w:val="2"/>
            <w:tcW w:w="3288" w:type="dxa"/>
            <w:vAlign w:val="center"/>
            <w:tcBorders>
              <w:top w:val="single" w:sz="4"/>
              <w:left w:val="nil"/>
              <w:bottom w:val="single" w:sz="4"/>
            </w:tcBorders>
            <w:vMerge w:val="restart"/>
          </w:tcPr>
          <w:p>
            <w:pPr>
              <w:pStyle w:val="0"/>
              <w:jc w:val="center"/>
            </w:pPr>
            <w:r>
              <w:rPr>
                <w:sz w:val="24"/>
              </w:rPr>
              <w:t xml:space="preserve">Показатель</w:t>
            </w:r>
          </w:p>
        </w:tc>
        <w:tc>
          <w:tcPr>
            <w:gridSpan w:val="3"/>
            <w:tcW w:w="5781" w:type="dxa"/>
            <w:vAlign w:val="center"/>
            <w:tcBorders>
              <w:top w:val="single" w:sz="4"/>
              <w:bottom w:val="single" w:sz="4"/>
              <w:right w:val="nil"/>
            </w:tcBorders>
          </w:tcPr>
          <w:p>
            <w:pPr>
              <w:pStyle w:val="0"/>
              <w:jc w:val="center"/>
            </w:pPr>
            <w:r>
              <w:rPr>
                <w:sz w:val="24"/>
              </w:rPr>
              <w:t xml:space="preserve">Значение показателя</w:t>
            </w:r>
          </w:p>
        </w:tc>
      </w:tr>
      <w:tr>
        <w:tblPrEx>
          <w:tblBorders>
            <w:insideV w:val="single" w:sz="4"/>
            <w:insideH w:val="single" w:sz="4"/>
          </w:tblBorders>
        </w:tblPrEx>
        <w:tc>
          <w:tcPr>
            <w:gridSpan w:val="2"/>
            <w:tcBorders>
              <w:top w:val="single" w:sz="4"/>
              <w:left w:val="nil"/>
              <w:bottom w:val="single" w:sz="4"/>
            </w:tcBorders>
            <w:vMerge w:val="continue"/>
          </w:tcPr>
          <w:p/>
        </w:tc>
        <w:tc>
          <w:tcPr>
            <w:tcW w:w="1927" w:type="dxa"/>
            <w:vAlign w:val="center"/>
            <w:tcBorders>
              <w:top w:val="single" w:sz="4"/>
              <w:bottom w:val="single" w:sz="4"/>
            </w:tcBorders>
          </w:tcPr>
          <w:p>
            <w:pPr>
              <w:pStyle w:val="0"/>
              <w:jc w:val="center"/>
            </w:pPr>
            <w:r>
              <w:rPr>
                <w:sz w:val="24"/>
              </w:rPr>
              <w:t xml:space="preserve">III категория</w:t>
            </w:r>
          </w:p>
        </w:tc>
        <w:tc>
          <w:tcPr>
            <w:tcW w:w="1927" w:type="dxa"/>
            <w:vAlign w:val="center"/>
            <w:tcBorders>
              <w:top w:val="single" w:sz="4"/>
              <w:bottom w:val="single" w:sz="4"/>
            </w:tcBorders>
          </w:tcPr>
          <w:p>
            <w:pPr>
              <w:pStyle w:val="0"/>
              <w:jc w:val="center"/>
            </w:pPr>
            <w:r>
              <w:rPr>
                <w:sz w:val="24"/>
              </w:rPr>
              <w:t xml:space="preserve">II категория</w:t>
            </w:r>
          </w:p>
        </w:tc>
        <w:tc>
          <w:tcPr>
            <w:tcW w:w="1927" w:type="dxa"/>
            <w:vAlign w:val="center"/>
            <w:tcBorders>
              <w:top w:val="single" w:sz="4"/>
              <w:bottom w:val="single" w:sz="4"/>
              <w:right w:val="nil"/>
            </w:tcBorders>
          </w:tcPr>
          <w:p>
            <w:pPr>
              <w:pStyle w:val="0"/>
              <w:jc w:val="center"/>
            </w:pPr>
            <w:r>
              <w:rPr>
                <w:sz w:val="24"/>
              </w:rPr>
              <w:t xml:space="preserve">I категория</w:t>
            </w:r>
          </w:p>
        </w:tc>
      </w:tr>
      <w:tr>
        <w:tc>
          <w:tcPr>
            <w:gridSpan w:val="5"/>
            <w:tcW w:w="9069" w:type="dxa"/>
            <w:tcBorders>
              <w:top w:val="single" w:sz="4"/>
              <w:left w:val="nil"/>
              <w:bottom w:val="nil"/>
              <w:right w:val="nil"/>
            </w:tcBorders>
          </w:tcPr>
          <w:p>
            <w:pPr>
              <w:pStyle w:val="0"/>
              <w:outlineLvl w:val="1"/>
              <w:jc w:val="center"/>
            </w:pPr>
            <w:r>
              <w:rPr>
                <w:sz w:val="24"/>
              </w:rPr>
              <w:t xml:space="preserve">I. Социальная значимость</w:t>
            </w:r>
          </w:p>
        </w:tc>
      </w:tr>
      <w:tr>
        <w:tc>
          <w:tcPr>
            <w:tcW w:w="510" w:type="dxa"/>
            <w:tcBorders>
              <w:top w:val="nil"/>
              <w:left w:val="nil"/>
              <w:bottom w:val="nil"/>
              <w:right w:val="nil"/>
            </w:tcBorders>
          </w:tcPr>
          <w:p>
            <w:pPr>
              <w:pStyle w:val="0"/>
              <w:jc w:val="center"/>
            </w:pPr>
            <w:r>
              <w:rPr>
                <w:sz w:val="24"/>
              </w:rPr>
              <w:t xml:space="preserve">1.</w:t>
            </w:r>
          </w:p>
        </w:tc>
        <w:tc>
          <w:tcPr>
            <w:tcW w:w="2778" w:type="dxa"/>
            <w:tcBorders>
              <w:top w:val="nil"/>
              <w:left w:val="nil"/>
              <w:bottom w:val="nil"/>
              <w:right w:val="nil"/>
            </w:tcBorders>
          </w:tcPr>
          <w:p>
            <w:pPr>
              <w:pStyle w:val="0"/>
            </w:pPr>
            <w:r>
              <w:rPr>
                <w:sz w:val="24"/>
              </w:rPr>
              <w:t xml:space="preserve">Причинение ущерба жизни и здоровью людей (человек)</w:t>
            </w:r>
          </w:p>
        </w:tc>
        <w:tc>
          <w:tcPr>
            <w:tcW w:w="1927" w:type="dxa"/>
            <w:tcBorders>
              <w:top w:val="nil"/>
              <w:left w:val="nil"/>
              <w:bottom w:val="nil"/>
              <w:right w:val="nil"/>
            </w:tcBorders>
          </w:tcPr>
          <w:p>
            <w:pPr>
              <w:pStyle w:val="0"/>
            </w:pPr>
            <w:r>
              <w:rPr>
                <w:sz w:val="24"/>
              </w:rPr>
              <w:t xml:space="preserve">более или равно 1, но менее или равно 50</w:t>
            </w:r>
          </w:p>
        </w:tc>
        <w:tc>
          <w:tcPr>
            <w:tcW w:w="1927" w:type="dxa"/>
            <w:tcBorders>
              <w:top w:val="nil"/>
              <w:left w:val="nil"/>
              <w:bottom w:val="nil"/>
              <w:right w:val="nil"/>
            </w:tcBorders>
          </w:tcPr>
          <w:p>
            <w:pPr>
              <w:pStyle w:val="0"/>
            </w:pPr>
            <w:r>
              <w:rPr>
                <w:sz w:val="24"/>
              </w:rPr>
              <w:t xml:space="preserve">более 50, но менее или равно 500</w:t>
            </w:r>
          </w:p>
        </w:tc>
        <w:tc>
          <w:tcPr>
            <w:tcW w:w="1927" w:type="dxa"/>
            <w:tcBorders>
              <w:top w:val="nil"/>
              <w:left w:val="nil"/>
              <w:bottom w:val="nil"/>
              <w:right w:val="nil"/>
            </w:tcBorders>
          </w:tcPr>
          <w:p>
            <w:pPr>
              <w:pStyle w:val="0"/>
            </w:pPr>
            <w:r>
              <w:rPr>
                <w:sz w:val="24"/>
              </w:rPr>
              <w:t xml:space="preserve">более 500</w:t>
            </w:r>
          </w:p>
        </w:tc>
      </w:tr>
      <w:tr>
        <w:tc>
          <w:tcPr>
            <w:tcW w:w="510" w:type="dxa"/>
            <w:tcBorders>
              <w:top w:val="nil"/>
              <w:left w:val="nil"/>
              <w:bottom w:val="nil"/>
              <w:right w:val="nil"/>
            </w:tcBorders>
          </w:tcPr>
          <w:p>
            <w:pPr>
              <w:pStyle w:val="0"/>
              <w:jc w:val="center"/>
            </w:pPr>
            <w:r>
              <w:rPr>
                <w:sz w:val="24"/>
              </w:rPr>
              <w:t xml:space="preserve">2.</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объектов обеспечения жизнедеятельности населения </w:t>
            </w:r>
            <w:hyperlink w:history="0" w:anchor="P353" w:tooltip="&lt;3&gt; Объекты, обеспечивающие водо-, тепло-, газо- и электроснабжение населения.">
              <w:r>
                <w:rPr>
                  <w:sz w:val="24"/>
                  <w:color w:val="0000ff"/>
                </w:rPr>
                <w:t xml:space="preserve">&lt;3&gt;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обеспечения жизнедеятельности населения;</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условия жизнедеятельности которых могут быть нарушены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t xml:space="preserve">3.</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объектов транспортной инфраструктуры, транспортных средств, в том числе высокоавтоматизированных транспортных средств,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транспортного сообщения или предоставления транспортных услуг;</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для которых могут быть недоступны транспортные услуги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4.</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сети связи, оцениваемые по количеству абонентов, для которых могут быть недоступны услуги связи (тыс. человек)</w:t>
            </w:r>
          </w:p>
        </w:tc>
        <w:tc>
          <w:tcPr>
            <w:tcW w:w="1927" w:type="dxa"/>
            <w:tcBorders>
              <w:top w:val="nil"/>
              <w:left w:val="nil"/>
              <w:bottom w:val="nil"/>
              <w:right w:val="nil"/>
            </w:tcBorders>
          </w:tcPr>
          <w:p>
            <w:pPr>
              <w:pStyle w:val="0"/>
            </w:pPr>
            <w:r>
              <w:rPr>
                <w:sz w:val="24"/>
              </w:rPr>
              <w:t xml:space="preserve">более или равно 3,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t xml:space="preserve">5.</w:t>
            </w:r>
          </w:p>
        </w:tc>
        <w:tc>
          <w:tcPr>
            <w:tcW w:w="2778" w:type="dxa"/>
            <w:tcBorders>
              <w:top w:val="nil"/>
              <w:left w:val="nil"/>
              <w:bottom w:val="nil"/>
              <w:right w:val="nil"/>
            </w:tcBorders>
          </w:tcPr>
          <w:p>
            <w:pPr>
              <w:pStyle w:val="0"/>
            </w:pPr>
            <w:r>
              <w:rPr>
                <w:sz w:val="24"/>
              </w:rPr>
              <w:t xml:space="preserve">Отсутствие доступа к государственной услуге,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максимальном допустимом времени, в течение которого государственная услуга может быть недоступна для получателей такой услуги (часов)</w:t>
            </w:r>
          </w:p>
        </w:tc>
        <w:tc>
          <w:tcPr>
            <w:tcW w:w="1927" w:type="dxa"/>
            <w:tcBorders>
              <w:top w:val="nil"/>
              <w:left w:val="nil"/>
              <w:bottom w:val="nil"/>
              <w:right w:val="nil"/>
            </w:tcBorders>
          </w:tcPr>
          <w:p>
            <w:pPr>
              <w:pStyle w:val="0"/>
            </w:pPr>
            <w:r>
              <w:rPr>
                <w:sz w:val="24"/>
              </w:rPr>
              <w:t xml:space="preserve">менее или равно 24, но более 12</w:t>
            </w:r>
          </w:p>
        </w:tc>
        <w:tc>
          <w:tcPr>
            <w:tcW w:w="1927" w:type="dxa"/>
            <w:tcBorders>
              <w:top w:val="nil"/>
              <w:left w:val="nil"/>
              <w:bottom w:val="nil"/>
              <w:right w:val="nil"/>
            </w:tcBorders>
          </w:tcPr>
          <w:p>
            <w:pPr>
              <w:pStyle w:val="0"/>
            </w:pPr>
            <w:r>
              <w:rPr>
                <w:sz w:val="24"/>
              </w:rPr>
              <w:t xml:space="preserve">менее или равно 12, но более 6</w:t>
            </w:r>
          </w:p>
        </w:tc>
        <w:tc>
          <w:tcPr>
            <w:tcW w:w="1927" w:type="dxa"/>
            <w:tcBorders>
              <w:top w:val="nil"/>
              <w:left w:val="nil"/>
              <w:bottom w:val="nil"/>
              <w:right w:val="nil"/>
            </w:tcBorders>
          </w:tcPr>
          <w:p>
            <w:pPr>
              <w:pStyle w:val="0"/>
            </w:pPr>
            <w:r>
              <w:rPr>
                <w:sz w:val="24"/>
              </w:rPr>
              <w:t xml:space="preserve">менее или равно 6</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w:t>
            </w:r>
          </w:p>
        </w:tc>
        <w:tc>
          <w:tcPr>
            <w:tcW w:w="1927" w:type="dxa"/>
            <w:tcBorders>
              <w:top w:val="nil"/>
              <w:left w:val="nil"/>
              <w:bottom w:val="nil"/>
              <w:right w:val="nil"/>
            </w:tcBorders>
          </w:tcPr>
          <w:p>
            <w:pPr>
              <w:pStyle w:val="0"/>
            </w:pPr>
            <w:r>
              <w:rPr>
                <w:sz w:val="24"/>
              </w:rPr>
              <w:t xml:space="preserve">менее или равно 30</w:t>
            </w:r>
          </w:p>
        </w:tc>
        <w:tc>
          <w:tcPr>
            <w:tcW w:w="1927" w:type="dxa"/>
            <w:tcBorders>
              <w:top w:val="nil"/>
              <w:left w:val="nil"/>
              <w:bottom w:val="nil"/>
              <w:right w:val="nil"/>
            </w:tcBorders>
          </w:tcPr>
          <w:p>
            <w:pPr>
              <w:pStyle w:val="0"/>
            </w:pPr>
            <w:r>
              <w:rPr>
                <w:sz w:val="24"/>
              </w:rPr>
              <w:t xml:space="preserve">более 30, но менее или равно 70</w:t>
            </w:r>
          </w:p>
        </w:tc>
        <w:tc>
          <w:tcPr>
            <w:tcW w:w="1927" w:type="dxa"/>
            <w:tcBorders>
              <w:top w:val="nil"/>
              <w:left w:val="nil"/>
              <w:bottom w:val="nil"/>
              <w:right w:val="nil"/>
            </w:tcBorders>
          </w:tcPr>
          <w:p>
            <w:pPr>
              <w:pStyle w:val="0"/>
            </w:pPr>
            <w:r>
              <w:rPr>
                <w:sz w:val="24"/>
              </w:rPr>
              <w:t xml:space="preserve">более 70</w:t>
            </w:r>
          </w:p>
        </w:tc>
      </w:tr>
      <w:tr>
        <w:tc>
          <w:tcPr>
            <w:gridSpan w:val="5"/>
            <w:tcW w:w="9069" w:type="dxa"/>
            <w:tcBorders>
              <w:top w:val="nil"/>
              <w:left w:val="nil"/>
              <w:bottom w:val="nil"/>
              <w:right w:val="nil"/>
            </w:tcBorders>
          </w:tcPr>
          <w:p>
            <w:pPr>
              <w:pStyle w:val="0"/>
              <w:jc w:val="both"/>
            </w:pPr>
            <w:r>
              <w:rPr>
                <w:sz w:val="24"/>
              </w:rPr>
              <w:t xml:space="preserve">(п. 5 в ред. </w:t>
            </w:r>
            <w:r>
              <w:rPr>
                <w:sz w:val="24"/>
              </w:rPr>
              <w:t xml:space="preserve">Постановления</w:t>
            </w:r>
            <w:r>
              <w:rPr>
                <w:sz w:val="24"/>
              </w:rPr>
              <w:t xml:space="preserve"> Правительства РФ от 20.12.2022 N 2360)</w:t>
            </w:r>
          </w:p>
        </w:tc>
      </w:tr>
      <w:tr>
        <w:tc>
          <w:tcPr>
            <w:gridSpan w:val="5"/>
            <w:tcW w:w="9069" w:type="dxa"/>
            <w:tcBorders>
              <w:top w:val="nil"/>
              <w:left w:val="nil"/>
              <w:bottom w:val="nil"/>
              <w:right w:val="nil"/>
            </w:tcBorders>
          </w:tcPr>
          <w:p>
            <w:pPr>
              <w:pStyle w:val="0"/>
              <w:outlineLvl w:val="1"/>
              <w:jc w:val="center"/>
            </w:pPr>
            <w:r>
              <w:rPr>
                <w:sz w:val="24"/>
              </w:rPr>
              <w:t xml:space="preserve">II. Политическая значимость</w:t>
            </w:r>
          </w:p>
        </w:tc>
      </w:tr>
      <w:tr>
        <w:tc>
          <w:tcPr>
            <w:tcW w:w="510" w:type="dxa"/>
            <w:tcBorders>
              <w:top w:val="nil"/>
              <w:left w:val="nil"/>
              <w:bottom w:val="nil"/>
              <w:right w:val="nil"/>
            </w:tcBorders>
          </w:tcPr>
          <w:p>
            <w:pPr>
              <w:pStyle w:val="0"/>
              <w:jc w:val="center"/>
            </w:pPr>
            <w:r>
              <w:rPr>
                <w:sz w:val="24"/>
              </w:rPr>
              <w:t xml:space="preserve">6.</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государственного органа в части невыполнения возложенной на него функции (полномочия)</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органа государственной власти субъекта Российской Федерации или города федерального значения</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федерального органа государственной власти</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r>
      <w:tr>
        <w:tc>
          <w:tcPr>
            <w:tcW w:w="510" w:type="dxa"/>
            <w:tcBorders>
              <w:top w:val="nil"/>
              <w:left w:val="nil"/>
              <w:bottom w:val="nil"/>
              <w:right w:val="nil"/>
            </w:tcBorders>
          </w:tcPr>
          <w:p>
            <w:pPr>
              <w:pStyle w:val="0"/>
              <w:jc w:val="center"/>
            </w:pPr>
            <w:r>
              <w:rPr>
                <w:sz w:val="24"/>
              </w:rPr>
              <w:t xml:space="preserve">7.</w:t>
            </w:r>
          </w:p>
        </w:tc>
        <w:tc>
          <w:tcPr>
            <w:tcW w:w="2778" w:type="dxa"/>
            <w:tcBorders>
              <w:top w:val="nil"/>
              <w:left w:val="nil"/>
              <w:bottom w:val="nil"/>
              <w:right w:val="nil"/>
            </w:tcBorders>
          </w:tcPr>
          <w:p>
            <w:pPr>
              <w:pStyle w:val="0"/>
            </w:pPr>
            <w:r>
              <w:rPr>
                <w:sz w:val="24"/>
              </w:rPr>
              <w:t xml:space="preserve">Нарушение условий международного договора Российской Федерации, срыв переговоров или подписания планируемого к заключению международного договора Российской Федерации, оцениваемые по уровню международного договора Российской Федерации</w:t>
            </w:r>
          </w:p>
        </w:tc>
        <w:tc>
          <w:tcPr>
            <w:tcW w:w="1927" w:type="dxa"/>
            <w:tcBorders>
              <w:top w:val="nil"/>
              <w:left w:val="nil"/>
              <w:bottom w:val="nil"/>
              <w:right w:val="nil"/>
            </w:tcBorders>
          </w:tcPr>
          <w:p>
            <w:pPr>
              <w:pStyle w:val="0"/>
            </w:pPr>
            <w:r>
              <w:rPr>
                <w:sz w:val="24"/>
              </w:rPr>
              <w:t xml:space="preserve">нарушение условий договора межведомственного характера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межправительственного договора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межгосударственного договора (срыв переговоров или подписания)</w:t>
            </w:r>
          </w:p>
        </w:tc>
      </w:tr>
      <w:tr>
        <w:tc>
          <w:tcPr>
            <w:gridSpan w:val="5"/>
            <w:tcW w:w="9069" w:type="dxa"/>
            <w:tcBorders>
              <w:top w:val="nil"/>
              <w:left w:val="nil"/>
              <w:bottom w:val="nil"/>
              <w:right w:val="nil"/>
            </w:tcBorders>
          </w:tcPr>
          <w:p>
            <w:pPr>
              <w:pStyle w:val="0"/>
              <w:outlineLvl w:val="1"/>
              <w:jc w:val="center"/>
            </w:pPr>
            <w:r>
              <w:rPr>
                <w:sz w:val="24"/>
              </w:rPr>
              <w:t xml:space="preserve">III. Экономическая значимость</w:t>
            </w:r>
          </w:p>
        </w:tc>
      </w:tr>
      <w:tr>
        <w:tc>
          <w:tcPr>
            <w:tcW w:w="510" w:type="dxa"/>
            <w:tcBorders>
              <w:top w:val="nil"/>
              <w:left w:val="nil"/>
              <w:bottom w:val="nil"/>
              <w:right w:val="nil"/>
            </w:tcBorders>
          </w:tcPr>
          <w:p>
            <w:pPr>
              <w:pStyle w:val="0"/>
              <w:jc w:val="center"/>
            </w:pPr>
            <w:r>
              <w:rPr>
                <w:sz w:val="24"/>
              </w:rPr>
              <w:t xml:space="preserve">8.</w:t>
            </w:r>
          </w:p>
        </w:tc>
        <w:tc>
          <w:tcPr>
            <w:tcW w:w="2778" w:type="dxa"/>
            <w:tcBorders>
              <w:top w:val="nil"/>
              <w:left w:val="nil"/>
              <w:bottom w:val="nil"/>
              <w:right w:val="nil"/>
            </w:tcBorders>
          </w:tcPr>
          <w:p>
            <w:pPr>
              <w:pStyle w:val="0"/>
            </w:pPr>
            <w:r>
              <w:rPr>
                <w:sz w:val="24"/>
              </w:rPr>
              <w:t xml:space="preserve">Возникновение ущерба субъекту критической информационной инфраструктуры, который является государственной корпорацией,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 </w:t>
            </w:r>
            <w:hyperlink w:history="0" w:anchor="P354"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стратегическим предприятием </w:t>
            </w:r>
            <w:hyperlink w:history="0" w:anchor="P354"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5-летний период)</w:t>
            </w:r>
          </w:p>
        </w:tc>
        <w:tc>
          <w:tcPr>
            <w:tcW w:w="1927" w:type="dxa"/>
            <w:tcBorders>
              <w:top w:val="nil"/>
              <w:left w:val="nil"/>
              <w:bottom w:val="nil"/>
              <w:right w:val="nil"/>
            </w:tcBorders>
          </w:tcPr>
          <w:p>
            <w:pPr>
              <w:pStyle w:val="0"/>
            </w:pPr>
            <w:r>
              <w:rPr>
                <w:sz w:val="24"/>
              </w:rPr>
              <w:t xml:space="preserve">более или равно 1,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20</w:t>
            </w:r>
          </w:p>
        </w:tc>
        <w:tc>
          <w:tcPr>
            <w:tcW w:w="1927" w:type="dxa"/>
            <w:tcBorders>
              <w:top w:val="nil"/>
              <w:left w:val="nil"/>
              <w:bottom w:val="nil"/>
              <w:right w:val="nil"/>
            </w:tcBorders>
          </w:tcPr>
          <w:p>
            <w:pPr>
              <w:pStyle w:val="0"/>
            </w:pPr>
            <w:r>
              <w:rPr>
                <w:sz w:val="24"/>
              </w:rPr>
              <w:t xml:space="preserve">более 20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9.</w:t>
            </w:r>
          </w:p>
        </w:tc>
        <w:tc>
          <w:tcPr>
            <w:tcW w:w="2778" w:type="dxa"/>
            <w:tcBorders>
              <w:top w:val="nil"/>
              <w:left w:val="nil"/>
              <w:bottom w:val="nil"/>
              <w:right w:val="nil"/>
            </w:tcBorders>
          </w:tcPr>
          <w:p>
            <w:pPr>
              <w:pStyle w:val="0"/>
            </w:pPr>
            <w:r>
              <w:rPr>
                <w:sz w:val="24"/>
              </w:rPr>
              <w:t xml:space="preserve">Возникновение ущерба бюджету Российской Федерации, оцениваемого 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w:t>
            </w:r>
          </w:p>
        </w:tc>
        <w:tc>
          <w:tcPr>
            <w:tcW w:w="1927" w:type="dxa"/>
            <w:tcBorders>
              <w:top w:val="nil"/>
              <w:left w:val="nil"/>
              <w:bottom w:val="nil"/>
              <w:right w:val="nil"/>
            </w:tcBorders>
          </w:tcPr>
          <w:p>
            <w:pPr>
              <w:pStyle w:val="0"/>
            </w:pPr>
            <w:r>
              <w:rPr>
                <w:sz w:val="24"/>
              </w:rPr>
              <w:t xml:space="preserve">более 0,0003, но менее или равно 0,0006</w:t>
            </w:r>
          </w:p>
        </w:tc>
        <w:tc>
          <w:tcPr>
            <w:tcW w:w="1927" w:type="dxa"/>
            <w:tcBorders>
              <w:top w:val="nil"/>
              <w:left w:val="nil"/>
              <w:bottom w:val="nil"/>
              <w:right w:val="nil"/>
            </w:tcBorders>
          </w:tcPr>
          <w:p>
            <w:pPr>
              <w:pStyle w:val="0"/>
            </w:pPr>
            <w:r>
              <w:rPr>
                <w:sz w:val="24"/>
              </w:rPr>
              <w:t xml:space="preserve">более 0,0006, но менее или равно 0,001</w:t>
            </w:r>
          </w:p>
        </w:tc>
        <w:tc>
          <w:tcPr>
            <w:tcW w:w="1927" w:type="dxa"/>
            <w:tcBorders>
              <w:top w:val="nil"/>
              <w:left w:val="nil"/>
              <w:bottom w:val="nil"/>
              <w:right w:val="nil"/>
            </w:tcBorders>
          </w:tcPr>
          <w:p>
            <w:pPr>
              <w:pStyle w:val="0"/>
            </w:pPr>
            <w:r>
              <w:rPr>
                <w:sz w:val="24"/>
              </w:rPr>
              <w:t xml:space="preserve">более 0,001</w:t>
            </w:r>
          </w:p>
        </w:tc>
      </w:tr>
      <w:tr>
        <w:tc>
          <w:tcPr>
            <w:gridSpan w:val="5"/>
            <w:tcW w:w="9069" w:type="dxa"/>
            <w:tcBorders>
              <w:top w:val="nil"/>
              <w:left w:val="nil"/>
              <w:bottom w:val="nil"/>
              <w:right w:val="nil"/>
            </w:tcBorders>
          </w:tcPr>
          <w:p>
            <w:pPr>
              <w:pStyle w:val="0"/>
              <w:jc w:val="both"/>
            </w:pPr>
            <w:r>
              <w:rPr>
                <w:sz w:val="24"/>
              </w:rPr>
              <w:t xml:space="preserve">(п. 9 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w:t>
            </w:r>
          </w:p>
        </w:tc>
        <w:tc>
          <w:tcPr>
            <w:tcW w:w="1927" w:type="dxa"/>
            <w:tcBorders>
              <w:top w:val="nil"/>
              <w:left w:val="nil"/>
              <w:bottom w:val="nil"/>
              <w:right w:val="nil"/>
            </w:tcBorders>
          </w:tcPr>
          <w:p>
            <w:pPr>
              <w:pStyle w:val="0"/>
            </w:pPr>
            <w:r>
              <w:rPr>
                <w:sz w:val="24"/>
              </w:rPr>
              <w:t xml:space="preserve">менее или равно 70</w:t>
            </w:r>
          </w:p>
        </w:tc>
        <w:tc>
          <w:tcPr>
            <w:tcW w:w="1927" w:type="dxa"/>
            <w:tcBorders>
              <w:top w:val="nil"/>
              <w:left w:val="nil"/>
              <w:bottom w:val="nil"/>
              <w:right w:val="nil"/>
            </w:tcBorders>
          </w:tcPr>
          <w:p>
            <w:pPr>
              <w:pStyle w:val="0"/>
            </w:pPr>
            <w:r>
              <w:rPr>
                <w:sz w:val="24"/>
              </w:rPr>
              <w:t xml:space="preserve">более 70, но менее или равно 120</w:t>
            </w:r>
          </w:p>
        </w:tc>
        <w:tc>
          <w:tcPr>
            <w:tcW w:w="1927" w:type="dxa"/>
            <w:tcBorders>
              <w:top w:val="nil"/>
              <w:left w:val="nil"/>
              <w:bottom w:val="nil"/>
              <w:right w:val="nil"/>
            </w:tcBorders>
          </w:tcPr>
          <w:p>
            <w:pPr>
              <w:pStyle w:val="0"/>
            </w:pPr>
            <w:r>
              <w:rPr>
                <w:sz w:val="24"/>
              </w:rPr>
              <w:t xml:space="preserve">более 120</w:t>
            </w:r>
          </w:p>
        </w:tc>
      </w:tr>
      <w:tr>
        <w:tc>
          <w:tcPr>
            <w:gridSpan w:val="5"/>
            <w:tcW w:w="9069" w:type="dxa"/>
            <w:tcBorders>
              <w:top w:val="nil"/>
              <w:left w:val="nil"/>
              <w:bottom w:val="nil"/>
              <w:right w:val="nil"/>
            </w:tcBorders>
          </w:tcPr>
          <w:p>
            <w:pPr>
              <w:pStyle w:val="0"/>
              <w:jc w:val="both"/>
            </w:pPr>
            <w:r>
              <w:rPr>
                <w:sz w:val="24"/>
              </w:rPr>
              <w:t xml:space="preserve">(п. 10 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10(1).</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w:t>
            </w:r>
          </w:p>
        </w:tc>
        <w:tc>
          <w:tcPr>
            <w:tcW w:w="1927" w:type="dxa"/>
            <w:tcBorders>
              <w:top w:val="nil"/>
              <w:left w:val="nil"/>
              <w:bottom w:val="nil"/>
              <w:right w:val="nil"/>
            </w:tcBorders>
          </w:tcPr>
          <w:p>
            <w:pPr>
              <w:pStyle w:val="0"/>
            </w:pPr>
            <w:r>
              <w:rPr>
                <w:sz w:val="24"/>
              </w:rPr>
              <w:t xml:space="preserve">менее 1</w:t>
            </w:r>
          </w:p>
        </w:tc>
        <w:tc>
          <w:tcPr>
            <w:tcW w:w="1927" w:type="dxa"/>
            <w:tcBorders>
              <w:top w:val="nil"/>
              <w:left w:val="nil"/>
              <w:bottom w:val="nil"/>
              <w:right w:val="nil"/>
            </w:tcBorders>
          </w:tcPr>
          <w:p>
            <w:pPr>
              <w:pStyle w:val="0"/>
            </w:pPr>
            <w:r>
              <w:rPr>
                <w:sz w:val="24"/>
              </w:rPr>
              <w:t xml:space="preserve">более или равно 1, но менее 10</w:t>
            </w:r>
          </w:p>
        </w:tc>
        <w:tc>
          <w:tcPr>
            <w:tcW w:w="1927" w:type="dxa"/>
            <w:tcBorders>
              <w:top w:val="nil"/>
              <w:left w:val="nil"/>
              <w:bottom w:val="nil"/>
              <w:right w:val="nil"/>
            </w:tcBorders>
          </w:tcPr>
          <w:p>
            <w:pPr>
              <w:pStyle w:val="0"/>
            </w:pPr>
            <w:r>
              <w:rPr>
                <w:sz w:val="24"/>
              </w:rPr>
              <w:t xml:space="preserve">более или равно 10</w:t>
            </w:r>
          </w:p>
        </w:tc>
      </w:tr>
      <w:tr>
        <w:tc>
          <w:tcPr>
            <w:gridSpan w:val="5"/>
            <w:tcW w:w="9069" w:type="dxa"/>
            <w:tcBorders>
              <w:top w:val="nil"/>
              <w:left w:val="nil"/>
              <w:bottom w:val="nil"/>
              <w:right w:val="nil"/>
            </w:tcBorders>
          </w:tcPr>
          <w:p>
            <w:pPr>
              <w:pStyle w:val="0"/>
              <w:jc w:val="both"/>
            </w:pPr>
            <w:r>
              <w:rPr>
                <w:sz w:val="24"/>
              </w:rPr>
              <w:t xml:space="preserve">(п. 10(1)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10(2).</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w:t>
            </w:r>
          </w:p>
        </w:tc>
        <w:tc>
          <w:tcPr>
            <w:tcW w:w="1927" w:type="dxa"/>
            <w:tcBorders>
              <w:top w:val="nil"/>
              <w:left w:val="nil"/>
              <w:bottom w:val="nil"/>
              <w:right w:val="nil"/>
            </w:tcBorders>
          </w:tcPr>
          <w:p>
            <w:pPr>
              <w:pStyle w:val="0"/>
            </w:pPr>
            <w:r>
              <w:rPr>
                <w:sz w:val="24"/>
              </w:rPr>
              <w:t xml:space="preserve">менее 10</w:t>
            </w:r>
          </w:p>
        </w:tc>
        <w:tc>
          <w:tcPr>
            <w:tcW w:w="1927" w:type="dxa"/>
            <w:tcBorders>
              <w:top w:val="nil"/>
              <w:left w:val="nil"/>
              <w:bottom w:val="nil"/>
              <w:right w:val="nil"/>
            </w:tcBorders>
          </w:tcPr>
          <w:p>
            <w:pPr>
              <w:pStyle w:val="0"/>
            </w:pPr>
            <w:r>
              <w:rPr>
                <w:sz w:val="24"/>
              </w:rPr>
              <w:t xml:space="preserve">более или равно 10, но менее 25</w:t>
            </w:r>
          </w:p>
        </w:tc>
        <w:tc>
          <w:tcPr>
            <w:tcW w:w="1927" w:type="dxa"/>
            <w:tcBorders>
              <w:top w:val="nil"/>
              <w:left w:val="nil"/>
              <w:bottom w:val="nil"/>
              <w:right w:val="nil"/>
            </w:tcBorders>
          </w:tcPr>
          <w:p>
            <w:pPr>
              <w:pStyle w:val="0"/>
            </w:pPr>
            <w:r>
              <w:rPr>
                <w:sz w:val="24"/>
              </w:rPr>
              <w:t xml:space="preserve">более или равно 25</w:t>
            </w:r>
          </w:p>
        </w:tc>
      </w:tr>
      <w:tr>
        <w:tc>
          <w:tcPr>
            <w:gridSpan w:val="5"/>
            <w:tcW w:w="9069" w:type="dxa"/>
            <w:tcBorders>
              <w:top w:val="nil"/>
              <w:left w:val="nil"/>
              <w:bottom w:val="nil"/>
              <w:right w:val="nil"/>
            </w:tcBorders>
          </w:tcPr>
          <w:p>
            <w:pPr>
              <w:pStyle w:val="0"/>
              <w:jc w:val="both"/>
            </w:pPr>
            <w:r>
              <w:rPr>
                <w:sz w:val="24"/>
              </w:rPr>
              <w:t xml:space="preserve">(п. 10(2)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10(3).</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выплатам, передаче 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w:t>
            </w:r>
          </w:p>
        </w:tc>
        <w:tc>
          <w:tcPr>
            <w:tcW w:w="1927" w:type="dxa"/>
            <w:tcBorders>
              <w:top w:val="nil"/>
              <w:left w:val="nil"/>
              <w:bottom w:val="nil"/>
              <w:right w:val="nil"/>
            </w:tcBorders>
          </w:tcPr>
          <w:p>
            <w:pPr>
              <w:pStyle w:val="0"/>
            </w:pPr>
            <w:r>
              <w:rPr>
                <w:sz w:val="24"/>
              </w:rPr>
              <w:t xml:space="preserve">более или равно 50, но менее 1000</w:t>
            </w:r>
          </w:p>
        </w:tc>
        <w:tc>
          <w:tcPr>
            <w:tcW w:w="1927" w:type="dxa"/>
            <w:tcBorders>
              <w:top w:val="nil"/>
              <w:left w:val="nil"/>
              <w:bottom w:val="nil"/>
              <w:right w:val="nil"/>
            </w:tcBorders>
          </w:tcPr>
          <w:p>
            <w:pPr>
              <w:pStyle w:val="0"/>
            </w:pPr>
            <w:r>
              <w:rPr>
                <w:sz w:val="24"/>
              </w:rPr>
              <w:t xml:space="preserve">более или равно 1000, но менее 2000</w:t>
            </w:r>
          </w:p>
        </w:tc>
        <w:tc>
          <w:tcPr>
            <w:tcW w:w="1927" w:type="dxa"/>
            <w:tcBorders>
              <w:top w:val="nil"/>
              <w:left w:val="nil"/>
              <w:bottom w:val="nil"/>
              <w:right w:val="nil"/>
            </w:tcBorders>
          </w:tcPr>
          <w:p>
            <w:pPr>
              <w:pStyle w:val="0"/>
            </w:pPr>
            <w:r>
              <w:rPr>
                <w:sz w:val="24"/>
              </w:rPr>
              <w:t xml:space="preserve">более или равно 2000</w:t>
            </w:r>
          </w:p>
        </w:tc>
      </w:tr>
      <w:tr>
        <w:tc>
          <w:tcPr>
            <w:gridSpan w:val="5"/>
            <w:tcW w:w="9069" w:type="dxa"/>
            <w:tcBorders>
              <w:top w:val="nil"/>
              <w:left w:val="nil"/>
              <w:bottom w:val="nil"/>
              <w:right w:val="nil"/>
            </w:tcBorders>
          </w:tcPr>
          <w:p>
            <w:pPr>
              <w:pStyle w:val="0"/>
              <w:jc w:val="both"/>
            </w:pPr>
            <w:r>
              <w:rPr>
                <w:sz w:val="24"/>
              </w:rPr>
              <w:t xml:space="preserve">(п. 10(3)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10(4).</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w:t>
            </w:r>
          </w:p>
        </w:tc>
        <w:tc>
          <w:tcPr>
            <w:tcW w:w="1927" w:type="dxa"/>
            <w:tcBorders>
              <w:top w:val="nil"/>
              <w:left w:val="nil"/>
              <w:bottom w:val="nil"/>
              <w:right w:val="nil"/>
            </w:tcBorders>
          </w:tcPr>
          <w:p>
            <w:pPr>
              <w:pStyle w:val="0"/>
            </w:pPr>
            <w:r>
              <w:rPr>
                <w:sz w:val="24"/>
              </w:rPr>
              <w:t xml:space="preserve">более или равно 100, но менее 1500</w:t>
            </w:r>
          </w:p>
        </w:tc>
        <w:tc>
          <w:tcPr>
            <w:tcW w:w="1927" w:type="dxa"/>
            <w:tcBorders>
              <w:top w:val="nil"/>
              <w:left w:val="nil"/>
              <w:bottom w:val="nil"/>
              <w:right w:val="nil"/>
            </w:tcBorders>
          </w:tcPr>
          <w:p>
            <w:pPr>
              <w:pStyle w:val="0"/>
            </w:pPr>
            <w:r>
              <w:rPr>
                <w:sz w:val="24"/>
              </w:rPr>
              <w:t xml:space="preserve">более или равно 1500,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(п. 10(4) введен </w:t>
            </w:r>
            <w:r>
              <w:rPr>
                <w:sz w:val="24"/>
              </w:rPr>
              <w:t xml:space="preserve">Постановлением</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10(5).</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w:t>
            </w:r>
          </w:p>
        </w:tc>
        <w:tc>
          <w:tcPr>
            <w:tcW w:w="1927" w:type="dxa"/>
            <w:tcBorders>
              <w:top w:val="nil"/>
              <w:left w:val="nil"/>
              <w:bottom w:val="nil"/>
              <w:right w:val="nil"/>
            </w:tcBorders>
          </w:tcPr>
          <w:p>
            <w:pPr>
              <w:pStyle w:val="0"/>
            </w:pPr>
            <w:r>
              <w:rPr>
                <w:sz w:val="24"/>
              </w:rPr>
              <w:t xml:space="preserve">более или равно 25, но менее 100</w:t>
            </w:r>
          </w:p>
        </w:tc>
        <w:tc>
          <w:tcPr>
            <w:tcW w:w="1927" w:type="dxa"/>
            <w:tcBorders>
              <w:top w:val="nil"/>
              <w:left w:val="nil"/>
              <w:bottom w:val="nil"/>
              <w:right w:val="nil"/>
            </w:tcBorders>
          </w:tcPr>
          <w:p>
            <w:pPr>
              <w:pStyle w:val="0"/>
            </w:pPr>
            <w:r>
              <w:rPr>
                <w:sz w:val="24"/>
              </w:rPr>
              <w:t xml:space="preserve">более или равно 100, но менее 150</w:t>
            </w:r>
          </w:p>
        </w:tc>
        <w:tc>
          <w:tcPr>
            <w:tcW w:w="1927" w:type="dxa"/>
            <w:tcBorders>
              <w:top w:val="nil"/>
              <w:left w:val="nil"/>
              <w:bottom w:val="nil"/>
              <w:right w:val="nil"/>
            </w:tcBorders>
          </w:tcPr>
          <w:p>
            <w:pPr>
              <w:pStyle w:val="0"/>
            </w:pPr>
            <w:r>
              <w:rPr>
                <w:sz w:val="24"/>
              </w:rPr>
              <w:t xml:space="preserve">более или равно 150</w:t>
            </w:r>
          </w:p>
        </w:tc>
      </w:tr>
      <w:tr>
        <w:tc>
          <w:tcPr>
            <w:gridSpan w:val="5"/>
            <w:tcW w:w="9069" w:type="dxa"/>
            <w:tcBorders>
              <w:top w:val="nil"/>
              <w:left w:val="nil"/>
              <w:bottom w:val="nil"/>
              <w:right w:val="nil"/>
            </w:tcBorders>
          </w:tcPr>
          <w:p>
            <w:pPr>
              <w:pStyle w:val="0"/>
              <w:jc w:val="both"/>
            </w:pPr>
            <w:r>
              <w:rPr>
                <w:sz w:val="24"/>
              </w:rPr>
              <w:t xml:space="preserve">(п. 10(5) введен </w:t>
            </w:r>
            <w:r>
              <w:rPr>
                <w:sz w:val="24"/>
              </w:rPr>
              <w:t xml:space="preserve">Постановлением</w:t>
            </w:r>
            <w:r>
              <w:rPr>
                <w:sz w:val="24"/>
              </w:rPr>
              <w:t xml:space="preserve"> Правительства РФ от 20.12.2022 N 2360)</w:t>
            </w:r>
          </w:p>
        </w:tc>
      </w:tr>
      <w:tr>
        <w:tc>
          <w:tcPr>
            <w:gridSpan w:val="5"/>
            <w:tcW w:w="9069" w:type="dxa"/>
            <w:tcBorders>
              <w:top w:val="nil"/>
              <w:left w:val="nil"/>
              <w:bottom w:val="nil"/>
              <w:right w:val="nil"/>
            </w:tcBorders>
          </w:tcPr>
          <w:p>
            <w:pPr>
              <w:pStyle w:val="0"/>
              <w:outlineLvl w:val="1"/>
              <w:jc w:val="center"/>
            </w:pPr>
            <w:r>
              <w:rPr>
                <w:sz w:val="24"/>
              </w:rPr>
              <w:t xml:space="preserve">IV. Экологическая значимость</w:t>
            </w:r>
          </w:p>
        </w:tc>
      </w:tr>
      <w:tr>
        <w:tc>
          <w:tcPr>
            <w:tcW w:w="510" w:type="dxa"/>
            <w:tcBorders>
              <w:top w:val="nil"/>
              <w:left w:val="nil"/>
              <w:bottom w:val="nil"/>
              <w:right w:val="nil"/>
            </w:tcBorders>
          </w:tcPr>
          <w:p>
            <w:pPr>
              <w:pStyle w:val="0"/>
              <w:jc w:val="center"/>
            </w:pPr>
            <w:r>
              <w:rPr>
                <w:sz w:val="24"/>
              </w:rPr>
              <w:t xml:space="preserve">11.</w:t>
            </w:r>
          </w:p>
        </w:tc>
        <w:tc>
          <w:tcPr>
            <w:tcW w:w="2778" w:type="dxa"/>
            <w:tcBorders>
              <w:top w:val="nil"/>
              <w:left w:val="nil"/>
              <w:bottom w:val="nil"/>
              <w:right w:val="nil"/>
            </w:tcBorders>
          </w:tcPr>
          <w:p>
            <w:pPr>
              <w:pStyle w:val="0"/>
            </w:pPr>
            <w:r>
              <w:rPr>
                <w:sz w:val="24"/>
              </w:rPr>
              <w:t xml:space="preserve">Вредные воздействия на окружающую среду </w:t>
            </w:r>
            <w:hyperlink w:history="0" w:anchor="P355" w:tooltip="&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
              <w:r>
                <w:rPr>
                  <w:sz w:val="24"/>
                  <w:color w:val="0000ff"/>
                </w:rPr>
                <w:t xml:space="preserve">&lt;5&gt;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окружающая среда может подвергнуться вредным воздействиям;</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 или одной внутригородской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которые могут быть подвержены вредным воздействиям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outlineLvl w:val="1"/>
              <w:jc w:val="center"/>
            </w:pPr>
            <w:r>
              <w:rPr>
                <w:sz w:val="24"/>
              </w:rPr>
              <w:t xml:space="preserve">V. Значимость для обеспечения обороны страны, безопасности государства и правопорядка</w:t>
            </w:r>
          </w:p>
        </w:tc>
      </w:tr>
      <w:tr>
        <w:tc>
          <w:tcPr>
            <w:tcW w:w="510" w:type="dxa"/>
            <w:tcBorders>
              <w:top w:val="nil"/>
              <w:left w:val="nil"/>
              <w:bottom w:val="nil"/>
              <w:right w:val="nil"/>
            </w:tcBorders>
          </w:tcPr>
          <w:p>
            <w:pPr>
              <w:pStyle w:val="0"/>
              <w:jc w:val="center"/>
            </w:pPr>
            <w:r>
              <w:rPr>
                <w:sz w:val="24"/>
              </w:rPr>
              <w:t xml:space="preserve">12.</w:t>
            </w:r>
          </w:p>
        </w:tc>
        <w:tc>
          <w:tcPr>
            <w:tcW w:w="2778"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(невыполнение установленных показателей) пункта управления (ситуационного центра), оцениваемые в уровне (значимости) пункта управления или ситуационного центра</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или ситуационного центра органа государственной власти субъекта Российской Федерации или города федерального значения</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или ситуационного центра федерального органа государственной власти или государственной корпорации</w:t>
            </w:r>
          </w:p>
        </w:tc>
        <w:tc>
          <w:tcPr>
            <w:tcW w:w="1927" w:type="dxa"/>
            <w:tcBorders>
              <w:top w:val="nil"/>
              <w:left w:val="nil"/>
              <w:bottom w:val="nil"/>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пункта управления государством или ситуационного центра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r>
      <w:tr>
        <w:tc>
          <w:tcPr>
            <w:tcW w:w="510" w:type="dxa"/>
            <w:tcBorders>
              <w:top w:val="nil"/>
              <w:left w:val="nil"/>
              <w:bottom w:val="nil"/>
              <w:right w:val="nil"/>
            </w:tcBorders>
          </w:tcPr>
          <w:p>
            <w:pPr>
              <w:pStyle w:val="0"/>
              <w:jc w:val="center"/>
            </w:pPr>
            <w:r>
              <w:rPr>
                <w:sz w:val="24"/>
              </w:rPr>
              <w:t xml:space="preserve">13.</w:t>
            </w:r>
          </w:p>
        </w:tc>
        <w:tc>
          <w:tcPr>
            <w:tcW w:w="2778" w:type="dxa"/>
            <w:tcBorders>
              <w:top w:val="nil"/>
              <w:left w:val="nil"/>
              <w:bottom w:val="nil"/>
              <w:right w:val="nil"/>
            </w:tcBorders>
          </w:tcPr>
          <w:p>
            <w:pPr>
              <w:pStyle w:val="0"/>
            </w:pPr>
            <w:r>
              <w:rPr>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снижении объемов продукции (работ, услуг) в заданный период времени (процентов заданного объема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15</w:t>
            </w:r>
          </w:p>
        </w:tc>
        <w:tc>
          <w:tcPr>
            <w:tcW w:w="1927" w:type="dxa"/>
            <w:tcBorders>
              <w:top w:val="nil"/>
              <w:left w:val="nil"/>
              <w:bottom w:val="nil"/>
              <w:right w:val="nil"/>
            </w:tcBorders>
          </w:tcPr>
          <w:p>
            <w:pPr>
              <w:pStyle w:val="0"/>
            </w:pPr>
            <w:r>
              <w:rPr>
                <w:sz w:val="24"/>
              </w:rPr>
              <w:t xml:space="preserve">более 15</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 увеличении времени изготовления единицы продукции с заданным объемом (процентов установленного времени на изготовление единицы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40</w:t>
            </w:r>
          </w:p>
        </w:tc>
        <w:tc>
          <w:tcPr>
            <w:tcW w:w="1927" w:type="dxa"/>
            <w:tcBorders>
              <w:top w:val="nil"/>
              <w:left w:val="nil"/>
              <w:bottom w:val="nil"/>
              <w:right w:val="nil"/>
            </w:tcBorders>
          </w:tcPr>
          <w:p>
            <w:pPr>
              <w:pStyle w:val="0"/>
            </w:pPr>
            <w:r>
              <w:rPr>
                <w:sz w:val="24"/>
              </w:rPr>
              <w:t xml:space="preserve">более 40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single" w:sz="4"/>
              <w:right w:val="nil"/>
            </w:tcBorders>
          </w:tcPr>
          <w:p>
            <w:pPr>
              <w:pStyle w:val="0"/>
              <w:jc w:val="center"/>
            </w:pPr>
            <w:r>
              <w:rPr>
                <w:sz w:val="24"/>
              </w:rPr>
              <w:t xml:space="preserve">14.</w:t>
            </w:r>
          </w:p>
        </w:tc>
        <w:tc>
          <w:tcPr>
            <w:tcW w:w="2778" w:type="dxa"/>
            <w:tcBorders>
              <w:top w:val="nil"/>
              <w:left w:val="nil"/>
              <w:bottom w:val="single" w:sz="4"/>
              <w:right w:val="nil"/>
            </w:tcBorders>
          </w:tcPr>
          <w:p>
            <w:pPr>
              <w:pStyle w:val="0"/>
            </w:pPr>
            <w:r>
              <w:rPr>
                <w:sz w:val="24"/>
              </w:rPr>
              <w:t xml:space="preserve">Прекращение </w:t>
            </w:r>
            <w:hyperlink w:history="0" w:anchor="P351" w:tooltip="&lt;1&gt; Полное прекращение выполнения критического процесса.">
              <w:r>
                <w:rPr>
                  <w:sz w:val="24"/>
                  <w:color w:val="0000ff"/>
                </w:rPr>
                <w:t xml:space="preserve">&lt;1&gt;</w:t>
              </w:r>
            </w:hyperlink>
            <w:r>
              <w:rPr>
                <w:sz w:val="24"/>
              </w:rPr>
              <w:t xml:space="preserve"> или нарушение функционирования </w:t>
            </w:r>
            <w:hyperlink w:history="0" w:anchor="P352" w:tooltip="&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
              <w:r>
                <w:rPr>
                  <w:sz w:val="24"/>
                  <w:color w:val="0000ff"/>
                </w:rPr>
                <w:t xml:space="preserve">&lt;2&gt;</w:t>
              </w:r>
            </w:hyperlink>
            <w:r>
              <w:rPr>
                <w:sz w:val="24"/>
              </w:rPr>
              <w:t xml:space="preserve"> (невыполнение установленных показателей) информационной системы в области обеспечения обороны страны, безопасности государства и правопорядка </w:t>
            </w:r>
            <w:hyperlink w:history="0" w:anchor="P356" w:tooltip="&lt;6&gt; Не распространяется на системы технических средств для обеспечения оперативно-разыскных мероприятий.">
              <w:r>
                <w:rPr>
                  <w:sz w:val="24"/>
                  <w:color w:val="0000ff"/>
                </w:rPr>
                <w:t xml:space="preserve">&lt;6&gt;</w:t>
              </w:r>
            </w:hyperlink>
            <w:r>
              <w:rPr>
                <w:sz w:val="24"/>
              </w:rPr>
              <w:t xml:space="preserve">, оцениваемые в максимально допустимом времени, в течение которого информационная система может быть недоступна пользователю (часов)</w:t>
            </w:r>
          </w:p>
        </w:tc>
        <w:tc>
          <w:tcPr>
            <w:tcW w:w="1927" w:type="dxa"/>
            <w:tcBorders>
              <w:top w:val="nil"/>
              <w:left w:val="nil"/>
              <w:bottom w:val="single" w:sz="4"/>
              <w:right w:val="nil"/>
            </w:tcBorders>
          </w:tcPr>
          <w:p>
            <w:pPr>
              <w:pStyle w:val="0"/>
            </w:pPr>
            <w:r>
              <w:rPr>
                <w:sz w:val="24"/>
              </w:rPr>
              <w:t xml:space="preserve">менее или равно 4, но более 2</w:t>
            </w:r>
          </w:p>
        </w:tc>
        <w:tc>
          <w:tcPr>
            <w:tcW w:w="1927" w:type="dxa"/>
            <w:tcBorders>
              <w:top w:val="nil"/>
              <w:left w:val="nil"/>
              <w:bottom w:val="single" w:sz="4"/>
              <w:right w:val="nil"/>
            </w:tcBorders>
          </w:tcPr>
          <w:p>
            <w:pPr>
              <w:pStyle w:val="0"/>
            </w:pPr>
            <w:r>
              <w:rPr>
                <w:sz w:val="24"/>
              </w:rPr>
              <w:t xml:space="preserve">менее или равно 2, но более 1</w:t>
            </w:r>
          </w:p>
        </w:tc>
        <w:tc>
          <w:tcPr>
            <w:tcW w:w="1927" w:type="dxa"/>
            <w:tcBorders>
              <w:top w:val="nil"/>
              <w:left w:val="nil"/>
              <w:bottom w:val="single" w:sz="4"/>
              <w:right w:val="nil"/>
            </w:tcBorders>
          </w:tcPr>
          <w:p>
            <w:pPr>
              <w:pStyle w:val="0"/>
            </w:pPr>
            <w:r>
              <w:rPr>
                <w:sz w:val="24"/>
              </w:rPr>
              <w:t xml:space="preserve">менее или равно 1</w:t>
            </w:r>
          </w:p>
        </w:tc>
      </w:tr>
    </w:tbl>
    <w:p>
      <w:pPr>
        <w:pStyle w:val="0"/>
        <w:jc w:val="both"/>
      </w:pPr>
      <w:r>
        <w:rPr>
          <w:sz w:val="24"/>
        </w:rPr>
      </w:r>
    </w:p>
    <w:p>
      <w:pPr>
        <w:pStyle w:val="0"/>
        <w:ind w:firstLine="540"/>
        <w:jc w:val="both"/>
      </w:pPr>
      <w:r>
        <w:rPr>
          <w:sz w:val="24"/>
        </w:rPr>
        <w:t xml:space="preserve">--------------------------------</w:t>
      </w:r>
    </w:p>
    <w:bookmarkStart w:id="351" w:name="P351"/>
    <w:bookmarkEnd w:id="351"/>
    <w:p>
      <w:pPr>
        <w:pStyle w:val="0"/>
        <w:spacing w:before="240" w:lineRule="auto"/>
        <w:ind w:firstLine="540"/>
        <w:jc w:val="both"/>
      </w:pPr>
      <w:r>
        <w:rPr>
          <w:sz w:val="24"/>
        </w:rPr>
        <w:t xml:space="preserve">&lt;1&gt; Полное прекращение выполнения критического процесса.</w:t>
      </w:r>
    </w:p>
    <w:bookmarkStart w:id="352" w:name="P352"/>
    <w:bookmarkEnd w:id="352"/>
    <w:p>
      <w:pPr>
        <w:pStyle w:val="0"/>
        <w:spacing w:before="240" w:lineRule="auto"/>
        <w:ind w:firstLine="540"/>
        <w:jc w:val="both"/>
      </w:pPr>
      <w:r>
        <w:rPr>
          <w:sz w:val="24"/>
        </w:rPr>
        <w:t xml:space="preserve">&lt;2&gt; Отклонение значений параметров критического процесса, в том числе временных параметров и параметров надежности, от проектных (штатных) режимов функционирования.</w:t>
      </w:r>
    </w:p>
    <w:bookmarkStart w:id="353" w:name="P353"/>
    <w:bookmarkEnd w:id="353"/>
    <w:p>
      <w:pPr>
        <w:pStyle w:val="0"/>
        <w:spacing w:before="240" w:lineRule="auto"/>
        <w:ind w:firstLine="540"/>
        <w:jc w:val="both"/>
      </w:pPr>
      <w:r>
        <w:rPr>
          <w:sz w:val="24"/>
        </w:rPr>
        <w:t xml:space="preserve">&lt;3&gt; Объекты, обеспечивающие водо-, тепло-, газо- и электроснабжение населения.</w:t>
      </w:r>
    </w:p>
    <w:bookmarkStart w:id="354" w:name="P354"/>
    <w:bookmarkEnd w:id="354"/>
    <w:p>
      <w:pPr>
        <w:pStyle w:val="0"/>
        <w:spacing w:before="240" w:lineRule="auto"/>
        <w:ind w:firstLine="540"/>
        <w:jc w:val="both"/>
      </w:pPr>
      <w:r>
        <w:rPr>
          <w:sz w:val="24"/>
        </w:rPr>
        <w:t xml:space="preserve">&lt;4&gt; Включен в </w:t>
      </w:r>
      <w:r>
        <w:rPr>
          <w:sz w:val="24"/>
        </w:rPr>
        <w:t xml:space="preserve">перечень</w:t>
      </w:r>
      <w:r>
        <w:rPr>
          <w:sz w:val="24"/>
        </w:rPr>
        <w:t xml:space="preserve"> стратегических предприятий и стратегических акционерных обществ, утвержденный Указом Президента Российской Федерации от 4 августа 2004 г. N 1009 "Об утверждении перечня стратегических предприятий и стратегических акционерных обществ".</w:t>
      </w:r>
    </w:p>
    <w:bookmarkStart w:id="355" w:name="P355"/>
    <w:bookmarkEnd w:id="355"/>
    <w:p>
      <w:pPr>
        <w:pStyle w:val="0"/>
        <w:spacing w:before="240" w:lineRule="auto"/>
        <w:ind w:firstLine="540"/>
        <w:jc w:val="both"/>
      </w:pPr>
      <w:r>
        <w:rPr>
          <w:sz w:val="24"/>
        </w:rPr>
        <w:t xml:space="preserve">&lt;5&gt;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w:t>
      </w:r>
    </w:p>
    <w:bookmarkStart w:id="356" w:name="P356"/>
    <w:bookmarkEnd w:id="356"/>
    <w:p>
      <w:pPr>
        <w:pStyle w:val="0"/>
        <w:spacing w:before="240" w:lineRule="auto"/>
        <w:ind w:firstLine="540"/>
        <w:jc w:val="both"/>
      </w:pPr>
      <w:r>
        <w:rPr>
          <w:sz w:val="24"/>
        </w:rPr>
        <w:t xml:space="preserve">&lt;6&gt; Не распространяется на системы технических средств для обеспечения оперативно-разыскных мероприятий.</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08.02.2018 N 127</w:t>
            <w:br/>
            <w:t>(ред. от 20.12.2022)</w:t>
            <w:br/>
            <w:t>"Об утверждении Правил категорирования объектов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08.02.2018 N 127
(ред. от 20.12.2022)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(с изм. и доп., вступ. в силу с 21.03.2023)</dc:title>
  <dcterms:created xsi:type="dcterms:W3CDTF">2026-10-21T19:16:26Z</dcterms:created>
</cp:coreProperties>
</file>