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8F90C" w14:textId="659FDEB0" w:rsidR="009D25D5" w:rsidRPr="00F749FE" w:rsidRDefault="000C25B8">
      <w:pPr>
        <w:rPr>
          <w:sz w:val="32"/>
          <w:szCs w:val="32"/>
        </w:rPr>
      </w:pPr>
      <w:r w:rsidRPr="00F749FE">
        <w:rPr>
          <w:sz w:val="32"/>
          <w:szCs w:val="32"/>
        </w:rPr>
        <w:t>Dell Q</w:t>
      </w:r>
      <w:r w:rsidR="00981C71" w:rsidRPr="00F749FE">
        <w:rPr>
          <w:sz w:val="32"/>
          <w:szCs w:val="32"/>
        </w:rPr>
        <w:t>uestions for RiskExec</w:t>
      </w:r>
      <w:r w:rsidR="00F749FE">
        <w:rPr>
          <w:sz w:val="32"/>
          <w:szCs w:val="32"/>
        </w:rPr>
        <w:t xml:space="preserve"> RFQ – </w:t>
      </w:r>
      <w:r w:rsidR="00F749FE" w:rsidRPr="00F749FE">
        <w:rPr>
          <w:i/>
          <w:iCs/>
          <w:sz w:val="32"/>
          <w:szCs w:val="32"/>
        </w:rPr>
        <w:t>submitted 7/0</w:t>
      </w:r>
      <w:r w:rsidR="00917ACF">
        <w:rPr>
          <w:i/>
          <w:iCs/>
          <w:sz w:val="32"/>
          <w:szCs w:val="32"/>
        </w:rPr>
        <w:t>7</w:t>
      </w:r>
      <w:r w:rsidR="00F749FE" w:rsidRPr="00F749FE">
        <w:rPr>
          <w:i/>
          <w:iCs/>
          <w:sz w:val="32"/>
          <w:szCs w:val="32"/>
        </w:rPr>
        <w:t>/25</w:t>
      </w:r>
      <w:r w:rsidR="00981C71" w:rsidRPr="00F749FE">
        <w:rPr>
          <w:i/>
          <w:iCs/>
          <w:sz w:val="32"/>
          <w:szCs w:val="32"/>
        </w:rPr>
        <w:t>:</w:t>
      </w:r>
    </w:p>
    <w:p w14:paraId="2D030B61" w14:textId="4E1DD6A3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General</w:t>
      </w:r>
    </w:p>
    <w:p w14:paraId="437487D3" w14:textId="178077FE" w:rsidR="00A46506" w:rsidRDefault="00A46506" w:rsidP="00981C71">
      <w:pPr>
        <w:numPr>
          <w:ilvl w:val="0"/>
          <w:numId w:val="2"/>
        </w:numPr>
        <w:spacing w:after="0" w:line="240" w:lineRule="auto"/>
      </w:pPr>
      <w:r>
        <w:t>When do you envision everything being completed?</w:t>
      </w:r>
    </w:p>
    <w:p w14:paraId="51FDFA84" w14:textId="78919278" w:rsidR="00A46506" w:rsidRDefault="00A46506" w:rsidP="00981C71">
      <w:pPr>
        <w:numPr>
          <w:ilvl w:val="0"/>
          <w:numId w:val="2"/>
        </w:numPr>
        <w:spacing w:after="0" w:line="240" w:lineRule="auto"/>
      </w:pPr>
      <w:r>
        <w:t xml:space="preserve">Is the RFP an opportunity to glean a general </w:t>
      </w:r>
      <w:proofErr w:type="gramStart"/>
      <w:r>
        <w:t>understand</w:t>
      </w:r>
      <w:proofErr w:type="gramEnd"/>
      <w:r>
        <w:t xml:space="preserve"> of pricing and determine what is/isn’t possible?</w:t>
      </w:r>
      <w:r w:rsidR="000D78E0">
        <w:t xml:space="preserve"> Or are you expecting </w:t>
      </w:r>
      <w:r w:rsidR="00E51A2D">
        <w:t>all services</w:t>
      </w:r>
      <w:r w:rsidR="000D78E0">
        <w:t xml:space="preserve"> in </w:t>
      </w:r>
      <w:proofErr w:type="gramStart"/>
      <w:r w:rsidR="000D78E0">
        <w:t>the RFQ</w:t>
      </w:r>
      <w:proofErr w:type="gramEnd"/>
      <w:r w:rsidR="00E51A2D">
        <w:t xml:space="preserve"> to be provided in the $400K budget that was mentioned?</w:t>
      </w:r>
    </w:p>
    <w:p w14:paraId="5C61B2A1" w14:textId="7803C39E" w:rsidR="00981C71" w:rsidRDefault="00981C71" w:rsidP="00981C71">
      <w:pPr>
        <w:numPr>
          <w:ilvl w:val="0"/>
          <w:numId w:val="2"/>
        </w:numPr>
        <w:spacing w:after="0" w:line="240" w:lineRule="auto"/>
      </w:pPr>
      <w:r>
        <w:t xml:space="preserve">In response to </w:t>
      </w:r>
      <w:r w:rsidRPr="00981C71">
        <w:rPr>
          <w:i/>
          <w:iCs/>
          <w:sz w:val="22"/>
          <w:szCs w:val="22"/>
        </w:rPr>
        <w:t>“</w:t>
      </w:r>
      <w:r w:rsidRPr="00981C71">
        <w:rPr>
          <w:b/>
          <w:i/>
          <w:iCs/>
          <w:sz w:val="22"/>
          <w:szCs w:val="22"/>
        </w:rPr>
        <w:t>Company Size &amp; Growth:</w:t>
      </w:r>
      <w:r w:rsidRPr="00981C71">
        <w:rPr>
          <w:i/>
          <w:iCs/>
          <w:sz w:val="22"/>
          <w:szCs w:val="22"/>
        </w:rPr>
        <w:t xml:space="preserve"> RiskExec currently employs approximately 30 individuals. We anticipate continued rapid growth, with increasing customer counts, data volumes, and complexity. Vendor solutions must scale efficiently.”</w:t>
      </w:r>
      <w:r w:rsidR="00F749FE">
        <w:t xml:space="preserve"> … </w:t>
      </w:r>
      <w:r>
        <w:t xml:space="preserve">Could you please quantify the estimated growth you expect and the associated timeline? </w:t>
      </w:r>
    </w:p>
    <w:p w14:paraId="3CC8DF58" w14:textId="0396C627" w:rsidR="00981C71" w:rsidRDefault="00981C71" w:rsidP="00981C71">
      <w:pPr>
        <w:numPr>
          <w:ilvl w:val="0"/>
          <w:numId w:val="2"/>
        </w:numPr>
        <w:spacing w:after="0" w:line="240" w:lineRule="auto"/>
      </w:pPr>
      <w:r>
        <w:t xml:space="preserve">As we engage our custom services team, they may have questions that come up after Monday’s deadline </w:t>
      </w:r>
      <w:proofErr w:type="gramStart"/>
      <w:r>
        <w:t>in order to</w:t>
      </w:r>
      <w:proofErr w:type="gramEnd"/>
      <w:r>
        <w:t xml:space="preserve"> further define the exact </w:t>
      </w:r>
      <w:proofErr w:type="gramStart"/>
      <w:r>
        <w:t>services scope</w:t>
      </w:r>
      <w:proofErr w:type="gramEnd"/>
      <w:r>
        <w:t>. Are we able to work with someone from RiskExec for scoping purposes in the coming weeks?</w:t>
      </w:r>
    </w:p>
    <w:p w14:paraId="0C69E83F" w14:textId="796CC74F" w:rsidR="00981C71" w:rsidRDefault="00C22CCA" w:rsidP="00981C71">
      <w:pPr>
        <w:numPr>
          <w:ilvl w:val="0"/>
          <w:numId w:val="2"/>
        </w:numPr>
        <w:spacing w:after="0" w:line="240" w:lineRule="auto"/>
      </w:pPr>
      <w:r>
        <w:t>Are you currently expecting pricing in the TSA Exit &amp; Migration Projects category</w:t>
      </w:r>
      <w:r w:rsidR="00F749FE">
        <w:t xml:space="preserve">, or will that be expected as a secondary exercise </w:t>
      </w:r>
      <w:proofErr w:type="gramStart"/>
      <w:r w:rsidR="00F749FE">
        <w:t>at a later time</w:t>
      </w:r>
      <w:proofErr w:type="gramEnd"/>
      <w:r>
        <w:t>?</w:t>
      </w:r>
    </w:p>
    <w:p w14:paraId="44986BE4" w14:textId="3BFDD217" w:rsidR="00C22CCA" w:rsidRDefault="002E6F73" w:rsidP="00981C71">
      <w:pPr>
        <w:numPr>
          <w:ilvl w:val="0"/>
          <w:numId w:val="2"/>
        </w:numPr>
        <w:spacing w:after="0" w:line="240" w:lineRule="auto"/>
      </w:pPr>
      <w:r>
        <w:t xml:space="preserve">A rough budget of $400K was discussed for these services. Would that be for </w:t>
      </w:r>
      <w:r w:rsidR="000C25B8">
        <w:t>an entry cost (pay as you go/grow by user), or a 1/2/</w:t>
      </w:r>
      <w:proofErr w:type="gramStart"/>
      <w:r w:rsidR="000C25B8">
        <w:t>3 year</w:t>
      </w:r>
      <w:proofErr w:type="gramEnd"/>
      <w:r w:rsidR="000C25B8">
        <w:t xml:space="preserve"> proposal?</w:t>
      </w:r>
      <w:r>
        <w:t xml:space="preserve"> </w:t>
      </w:r>
    </w:p>
    <w:p w14:paraId="02ECC50B" w14:textId="77777777" w:rsidR="00F749FE" w:rsidRPr="00F749FE" w:rsidRDefault="00F749FE" w:rsidP="00F749FE">
      <w:pPr>
        <w:numPr>
          <w:ilvl w:val="0"/>
          <w:numId w:val="2"/>
        </w:numPr>
        <w:spacing w:after="0" w:line="240" w:lineRule="auto"/>
      </w:pPr>
      <w:r w:rsidRPr="00F749FE">
        <w:t>Are there any current pain points, unmet requirements, or anticipated business changes that could impact your requirements or timelines?</w:t>
      </w:r>
    </w:p>
    <w:p w14:paraId="504FFB8E" w14:textId="77777777" w:rsidR="00F749FE" w:rsidRPr="00F749FE" w:rsidRDefault="00F749FE" w:rsidP="00F749FE">
      <w:pPr>
        <w:numPr>
          <w:ilvl w:val="0"/>
          <w:numId w:val="2"/>
        </w:numPr>
        <w:spacing w:after="0" w:line="240" w:lineRule="auto"/>
      </w:pPr>
      <w:r w:rsidRPr="00F749FE">
        <w:t>What metrics/KPIs will define success for each managed service category?</w:t>
      </w:r>
    </w:p>
    <w:p w14:paraId="7C0C6788" w14:textId="55D36BD8" w:rsidR="00F749FE" w:rsidRDefault="00F749FE" w:rsidP="00F749FE">
      <w:pPr>
        <w:numPr>
          <w:ilvl w:val="0"/>
          <w:numId w:val="2"/>
        </w:numPr>
        <w:spacing w:after="0" w:line="240" w:lineRule="auto"/>
      </w:pPr>
      <w:r w:rsidRPr="00F749FE">
        <w:t>Is there any documentation, existing runbooks, or policies you can provide for onboarding?</w:t>
      </w:r>
    </w:p>
    <w:p w14:paraId="3A0DE4F6" w14:textId="77777777" w:rsidR="00F749FE" w:rsidRDefault="00F749FE" w:rsidP="00F749FE">
      <w:pPr>
        <w:spacing w:after="0" w:line="240" w:lineRule="auto"/>
      </w:pPr>
    </w:p>
    <w:p w14:paraId="3A0E3654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Cloud &amp; Infrastructure Management</w:t>
      </w:r>
    </w:p>
    <w:p w14:paraId="4E470969" w14:textId="77777777" w:rsidR="00F749FE" w:rsidRPr="00F749FE" w:rsidRDefault="00F749FE" w:rsidP="00F749FE">
      <w:pPr>
        <w:numPr>
          <w:ilvl w:val="0"/>
          <w:numId w:val="3"/>
        </w:numPr>
        <w:spacing w:after="0" w:line="240" w:lineRule="auto"/>
      </w:pPr>
      <w:r w:rsidRPr="00F749FE">
        <w:t>How many Azure tenants and subscriptions are currently in-scope for management, and are there anticipated changes in the next 12 months?</w:t>
      </w:r>
    </w:p>
    <w:p w14:paraId="1640D345" w14:textId="77777777" w:rsidR="00F749FE" w:rsidRPr="00F749FE" w:rsidRDefault="00F749FE" w:rsidP="00F749FE">
      <w:pPr>
        <w:numPr>
          <w:ilvl w:val="0"/>
          <w:numId w:val="3"/>
        </w:numPr>
        <w:spacing w:after="0" w:line="240" w:lineRule="auto"/>
      </w:pPr>
      <w:proofErr w:type="gramStart"/>
      <w:r w:rsidRPr="00F749FE">
        <w:t>Are</w:t>
      </w:r>
      <w:proofErr w:type="gramEnd"/>
      <w:r w:rsidRPr="00F749FE">
        <w:t xml:space="preserve"> there specific naming, tagging, or organizational standards for Azure resources we must follow?</w:t>
      </w:r>
    </w:p>
    <w:p w14:paraId="4FF5B48A" w14:textId="77777777" w:rsidR="00F749FE" w:rsidRPr="00F749FE" w:rsidRDefault="00F749FE" w:rsidP="00F749FE">
      <w:pPr>
        <w:numPr>
          <w:ilvl w:val="0"/>
          <w:numId w:val="3"/>
        </w:numPr>
        <w:spacing w:after="0" w:line="240" w:lineRule="auto"/>
      </w:pPr>
      <w:r w:rsidRPr="00F749FE">
        <w:t>Can you detail your expectations for Azure cost optimization (e.g., reserved instances, rightsizing, policy enforcement)?</w:t>
      </w:r>
    </w:p>
    <w:p w14:paraId="201BEDFF" w14:textId="77777777" w:rsidR="00F749FE" w:rsidRPr="00F749FE" w:rsidRDefault="00F749FE" w:rsidP="00F749FE">
      <w:pPr>
        <w:numPr>
          <w:ilvl w:val="0"/>
          <w:numId w:val="3"/>
        </w:numPr>
        <w:spacing w:after="0" w:line="240" w:lineRule="auto"/>
      </w:pPr>
      <w:r w:rsidRPr="00F749FE">
        <w:t>What is your current process for reviewing and approving cloud billing, and what level of transparency/reporting do you require?</w:t>
      </w:r>
    </w:p>
    <w:p w14:paraId="6A861DA3" w14:textId="77777777" w:rsidR="00F749FE" w:rsidRPr="00F749FE" w:rsidRDefault="00F749FE" w:rsidP="00F749FE">
      <w:pPr>
        <w:numPr>
          <w:ilvl w:val="0"/>
          <w:numId w:val="3"/>
        </w:numPr>
        <w:spacing w:after="0" w:line="240" w:lineRule="auto"/>
      </w:pPr>
      <w:r w:rsidRPr="00F749FE">
        <w:t>For DNS and SSL certificate management, which domains, subdomains, and providers (ClouDNS, DNSMadeEasy, SSLS.com) are currently used?</w:t>
      </w:r>
    </w:p>
    <w:p w14:paraId="362BD36D" w14:textId="77777777" w:rsidR="00F749FE" w:rsidRPr="00F749FE" w:rsidRDefault="00F749FE" w:rsidP="00F749FE">
      <w:pPr>
        <w:numPr>
          <w:ilvl w:val="0"/>
          <w:numId w:val="3"/>
        </w:numPr>
        <w:spacing w:after="0" w:line="240" w:lineRule="auto"/>
      </w:pPr>
      <w:r w:rsidRPr="00F749FE">
        <w:t>What is your current backup and disaster recovery architecture—including RPO/RTO targets for different workloads/applications?</w:t>
      </w:r>
    </w:p>
    <w:p w14:paraId="4A5AD4F0" w14:textId="77777777" w:rsidR="00F749FE" w:rsidRPr="00F749FE" w:rsidRDefault="00F749FE" w:rsidP="00F749FE">
      <w:pPr>
        <w:numPr>
          <w:ilvl w:val="0"/>
          <w:numId w:val="3"/>
        </w:numPr>
        <w:spacing w:after="0" w:line="240" w:lineRule="auto"/>
      </w:pPr>
      <w:r w:rsidRPr="00F749FE">
        <w:t xml:space="preserve">Are there documented incident </w:t>
      </w:r>
      <w:proofErr w:type="gramStart"/>
      <w:r w:rsidRPr="00F749FE">
        <w:t>response</w:t>
      </w:r>
      <w:proofErr w:type="gramEnd"/>
      <w:r w:rsidRPr="00F749FE">
        <w:t xml:space="preserve"> and DR playbooks? If not, should the MSP develop these?</w:t>
      </w:r>
    </w:p>
    <w:p w14:paraId="19A7DAF3" w14:textId="77777777" w:rsidR="00F749FE" w:rsidRPr="00F749FE" w:rsidRDefault="00F749FE" w:rsidP="00F749FE">
      <w:pPr>
        <w:numPr>
          <w:ilvl w:val="0"/>
          <w:numId w:val="3"/>
        </w:numPr>
        <w:spacing w:after="0" w:line="240" w:lineRule="auto"/>
      </w:pPr>
      <w:r w:rsidRPr="00F749FE">
        <w:t>Is there a preferred backup technology or retention schedule, particularly for compliance or regulatory workloads?</w:t>
      </w:r>
    </w:p>
    <w:p w14:paraId="578754FF" w14:textId="77777777" w:rsidR="00F749FE" w:rsidRPr="00F749FE" w:rsidRDefault="00F749FE" w:rsidP="00F749FE">
      <w:pPr>
        <w:spacing w:after="0" w:line="240" w:lineRule="auto"/>
      </w:pPr>
    </w:p>
    <w:p w14:paraId="7DD4A7BB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Network and Traffic Management</w:t>
      </w:r>
    </w:p>
    <w:p w14:paraId="62339CC1" w14:textId="77777777" w:rsidR="00F749FE" w:rsidRPr="00F749FE" w:rsidRDefault="00F749FE" w:rsidP="00F749FE">
      <w:pPr>
        <w:numPr>
          <w:ilvl w:val="0"/>
          <w:numId w:val="4"/>
        </w:numPr>
        <w:spacing w:after="0" w:line="240" w:lineRule="auto"/>
      </w:pPr>
      <w:r w:rsidRPr="00F749FE">
        <w:lastRenderedPageBreak/>
        <w:t>How many applications and regions use Azure Front Door, and are there custom traffic routing or failover requirements?</w:t>
      </w:r>
    </w:p>
    <w:p w14:paraId="711180A3" w14:textId="77777777" w:rsidR="00F749FE" w:rsidRPr="00F749FE" w:rsidRDefault="00F749FE" w:rsidP="00F749FE">
      <w:pPr>
        <w:numPr>
          <w:ilvl w:val="0"/>
          <w:numId w:val="4"/>
        </w:numPr>
        <w:spacing w:after="0" w:line="240" w:lineRule="auto"/>
      </w:pPr>
      <w:r w:rsidRPr="00F749FE">
        <w:t xml:space="preserve">Is there a documented topology for Azure Front Door services across your </w:t>
      </w:r>
      <w:proofErr w:type="gramStart"/>
      <w:r w:rsidRPr="00F749FE">
        <w:t>environments</w:t>
      </w:r>
      <w:proofErr w:type="gramEnd"/>
      <w:r w:rsidRPr="00F749FE">
        <w:t>?</w:t>
      </w:r>
    </w:p>
    <w:p w14:paraId="4780D5F7" w14:textId="77777777" w:rsidR="00F749FE" w:rsidRPr="00F749FE" w:rsidRDefault="00F749FE" w:rsidP="00F749FE">
      <w:pPr>
        <w:numPr>
          <w:ilvl w:val="0"/>
          <w:numId w:val="4"/>
        </w:numPr>
        <w:spacing w:after="0" w:line="240" w:lineRule="auto"/>
      </w:pPr>
      <w:r w:rsidRPr="00F749FE">
        <w:t>Are there any compliance or reporting requirements associated with Azure Front Door management?</w:t>
      </w:r>
    </w:p>
    <w:p w14:paraId="349D3C2C" w14:textId="77777777" w:rsidR="00F749FE" w:rsidRPr="00F749FE" w:rsidRDefault="00F749FE" w:rsidP="00F749FE">
      <w:pPr>
        <w:numPr>
          <w:ilvl w:val="0"/>
          <w:numId w:val="4"/>
        </w:numPr>
        <w:spacing w:after="0" w:line="240" w:lineRule="auto"/>
      </w:pPr>
      <w:r w:rsidRPr="00F749FE">
        <w:t>Which types of applications and environments require protection through Sophos WAF, and are specific security policies already defined?</w:t>
      </w:r>
    </w:p>
    <w:p w14:paraId="0F1A3CDA" w14:textId="77777777" w:rsidR="00F749FE" w:rsidRPr="00F749FE" w:rsidRDefault="00F749FE" w:rsidP="00F749FE">
      <w:pPr>
        <w:numPr>
          <w:ilvl w:val="0"/>
          <w:numId w:val="4"/>
        </w:numPr>
        <w:spacing w:after="0" w:line="240" w:lineRule="auto"/>
      </w:pPr>
      <w:r w:rsidRPr="00F749FE">
        <w:t>How many Sophos XG Firewalls are in use, and do you require active support on hardware appliances, virtual appliances, or both?</w:t>
      </w:r>
    </w:p>
    <w:p w14:paraId="7C9D3B01" w14:textId="77777777" w:rsidR="00F749FE" w:rsidRPr="00F749FE" w:rsidRDefault="00F749FE" w:rsidP="00F749FE">
      <w:pPr>
        <w:numPr>
          <w:ilvl w:val="0"/>
          <w:numId w:val="4"/>
        </w:numPr>
        <w:spacing w:after="0" w:line="240" w:lineRule="auto"/>
      </w:pPr>
      <w:r w:rsidRPr="00F749FE">
        <w:t>Can you specify any compliance frameworks or regulations that network security configurations must meet?</w:t>
      </w:r>
    </w:p>
    <w:p w14:paraId="36ED7DF7" w14:textId="77777777" w:rsidR="00F749FE" w:rsidRPr="00F749FE" w:rsidRDefault="00F749FE" w:rsidP="00F749FE">
      <w:pPr>
        <w:numPr>
          <w:ilvl w:val="0"/>
          <w:numId w:val="4"/>
        </w:numPr>
        <w:spacing w:after="0" w:line="240" w:lineRule="auto"/>
      </w:pPr>
      <w:r w:rsidRPr="00F749FE">
        <w:t>Are there existing Azure Private Links and Endpoints, or will the MSP recommend and implement new ones?</w:t>
      </w:r>
    </w:p>
    <w:p w14:paraId="50063616" w14:textId="77777777" w:rsidR="00F749FE" w:rsidRPr="00F749FE" w:rsidRDefault="00F749FE" w:rsidP="00F749FE">
      <w:pPr>
        <w:numPr>
          <w:ilvl w:val="0"/>
          <w:numId w:val="4"/>
        </w:numPr>
        <w:spacing w:after="0" w:line="240" w:lineRule="auto"/>
      </w:pPr>
      <w:r w:rsidRPr="00F749FE">
        <w:t>Are all DNS zones managed centrally or delegated per application/team? Are DNS changes subject to change management controls?</w:t>
      </w:r>
    </w:p>
    <w:p w14:paraId="1955BD2A" w14:textId="77777777" w:rsidR="00F749FE" w:rsidRPr="00F749FE" w:rsidRDefault="00F749FE" w:rsidP="00F749FE">
      <w:pPr>
        <w:spacing w:after="0" w:line="240" w:lineRule="auto"/>
      </w:pPr>
    </w:p>
    <w:p w14:paraId="0946BF90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Identity &amp; Access Management (IAM)</w:t>
      </w:r>
    </w:p>
    <w:p w14:paraId="7A2FBFD7" w14:textId="77777777" w:rsidR="00F749FE" w:rsidRPr="00F749FE" w:rsidRDefault="00F749FE" w:rsidP="00F749FE">
      <w:pPr>
        <w:numPr>
          <w:ilvl w:val="0"/>
          <w:numId w:val="5"/>
        </w:numPr>
        <w:spacing w:after="0" w:line="240" w:lineRule="auto"/>
      </w:pPr>
      <w:r w:rsidRPr="00F749FE">
        <w:t>What is the approximate user count for Azure AD/Entra ID, including service accounts and external identities?</w:t>
      </w:r>
    </w:p>
    <w:p w14:paraId="14DF94B8" w14:textId="77777777" w:rsidR="00F749FE" w:rsidRPr="00F749FE" w:rsidRDefault="00F749FE" w:rsidP="00F749FE">
      <w:pPr>
        <w:numPr>
          <w:ilvl w:val="0"/>
          <w:numId w:val="5"/>
        </w:numPr>
        <w:spacing w:after="0" w:line="240" w:lineRule="auto"/>
      </w:pPr>
      <w:r w:rsidRPr="00F749FE">
        <w:t>What is your current user provisioning and deprovisioning workflow? Are you using automation tools?</w:t>
      </w:r>
    </w:p>
    <w:p w14:paraId="605902D3" w14:textId="77777777" w:rsidR="00F749FE" w:rsidRPr="00F749FE" w:rsidRDefault="00F749FE" w:rsidP="00F749FE">
      <w:pPr>
        <w:numPr>
          <w:ilvl w:val="0"/>
          <w:numId w:val="5"/>
        </w:numPr>
        <w:spacing w:after="0" w:line="240" w:lineRule="auto"/>
      </w:pPr>
      <w:r w:rsidRPr="00F749FE">
        <w:t>Which MFA methods do you enforce, and are specific roles excluded?</w:t>
      </w:r>
    </w:p>
    <w:p w14:paraId="51CE4A65" w14:textId="77777777" w:rsidR="00F749FE" w:rsidRPr="00F749FE" w:rsidRDefault="00F749FE" w:rsidP="00F749FE">
      <w:pPr>
        <w:numPr>
          <w:ilvl w:val="0"/>
          <w:numId w:val="5"/>
        </w:numPr>
        <w:spacing w:after="0" w:line="240" w:lineRule="auto"/>
      </w:pPr>
      <w:r w:rsidRPr="00F749FE">
        <w:t>Which applications and tools should be integrated via SSO (Rippling, 1Password, others)?</w:t>
      </w:r>
    </w:p>
    <w:p w14:paraId="7208D430" w14:textId="77777777" w:rsidR="00F749FE" w:rsidRPr="00F749FE" w:rsidRDefault="00F749FE" w:rsidP="00F749FE">
      <w:pPr>
        <w:numPr>
          <w:ilvl w:val="0"/>
          <w:numId w:val="5"/>
        </w:numPr>
        <w:spacing w:after="0" w:line="240" w:lineRule="auto"/>
      </w:pPr>
      <w:r w:rsidRPr="00F749FE">
        <w:t>What is your current endpoint management strategy—number/type of devices, MDM tools in use, and compliance targets?</w:t>
      </w:r>
    </w:p>
    <w:p w14:paraId="57C12AED" w14:textId="77777777" w:rsidR="00F749FE" w:rsidRPr="00F749FE" w:rsidRDefault="00F749FE" w:rsidP="00F749FE">
      <w:pPr>
        <w:numPr>
          <w:ilvl w:val="0"/>
          <w:numId w:val="5"/>
        </w:numPr>
        <w:spacing w:after="0" w:line="240" w:lineRule="auto"/>
      </w:pPr>
      <w:r w:rsidRPr="00F749FE">
        <w:t>Are there custom conditional access or device compliance policies to replicate or redesign?</w:t>
      </w:r>
    </w:p>
    <w:p w14:paraId="289898BF" w14:textId="77777777" w:rsidR="00F749FE" w:rsidRPr="00F749FE" w:rsidRDefault="00F749FE" w:rsidP="00F749FE">
      <w:pPr>
        <w:spacing w:after="0" w:line="240" w:lineRule="auto"/>
      </w:pPr>
    </w:p>
    <w:p w14:paraId="01289847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Security Monitoring &amp; Response</w:t>
      </w:r>
    </w:p>
    <w:p w14:paraId="0D669AD0" w14:textId="77777777" w:rsidR="00F749FE" w:rsidRPr="00F749FE" w:rsidRDefault="00F749FE" w:rsidP="00F749FE">
      <w:pPr>
        <w:numPr>
          <w:ilvl w:val="0"/>
          <w:numId w:val="6"/>
        </w:numPr>
        <w:spacing w:after="0" w:line="240" w:lineRule="auto"/>
      </w:pPr>
      <w:r w:rsidRPr="00F749FE">
        <w:t>What security operations technologies are currently deployed (Sophos MDR/XDR/EDR, SIEM, others)?</w:t>
      </w:r>
    </w:p>
    <w:p w14:paraId="344DC7D3" w14:textId="77777777" w:rsidR="00F749FE" w:rsidRPr="00F749FE" w:rsidRDefault="00F749FE" w:rsidP="00F749FE">
      <w:pPr>
        <w:numPr>
          <w:ilvl w:val="0"/>
          <w:numId w:val="6"/>
        </w:numPr>
        <w:spacing w:after="0" w:line="240" w:lineRule="auto"/>
      </w:pPr>
      <w:r w:rsidRPr="00F749FE">
        <w:t>How many endpoints require MDR/XDR/EDR coverage, and are there hybrid (on-prem/cloud) assets?</w:t>
      </w:r>
    </w:p>
    <w:p w14:paraId="26F7B9B7" w14:textId="77777777" w:rsidR="00F749FE" w:rsidRPr="00F749FE" w:rsidRDefault="00F749FE" w:rsidP="00F749FE">
      <w:pPr>
        <w:numPr>
          <w:ilvl w:val="0"/>
          <w:numId w:val="6"/>
        </w:numPr>
        <w:spacing w:after="0" w:line="240" w:lineRule="auto"/>
      </w:pPr>
      <w:r w:rsidRPr="00F749FE">
        <w:t>What data loss prevention tools are in place (Nightfall AI, Sophos Cloud Optix)? What are the most sensitive data types?</w:t>
      </w:r>
    </w:p>
    <w:p w14:paraId="089C6B53" w14:textId="77777777" w:rsidR="00F749FE" w:rsidRPr="00F749FE" w:rsidRDefault="00F749FE" w:rsidP="00F749FE">
      <w:pPr>
        <w:numPr>
          <w:ilvl w:val="0"/>
          <w:numId w:val="6"/>
        </w:numPr>
        <w:spacing w:after="0" w:line="240" w:lineRule="auto"/>
      </w:pPr>
      <w:r w:rsidRPr="00F749FE">
        <w:t>What is your expected cadence and format for phishing simulation and security awareness training?</w:t>
      </w:r>
    </w:p>
    <w:p w14:paraId="73CE1612" w14:textId="77777777" w:rsidR="00F749FE" w:rsidRPr="00F749FE" w:rsidRDefault="00F749FE" w:rsidP="00F749FE">
      <w:pPr>
        <w:numPr>
          <w:ilvl w:val="0"/>
          <w:numId w:val="6"/>
        </w:numPr>
        <w:spacing w:after="0" w:line="240" w:lineRule="auto"/>
      </w:pPr>
      <w:r w:rsidRPr="00F749FE">
        <w:t>Are there specific escalation paths, SLAs, or notification requirements for incident response?</w:t>
      </w:r>
    </w:p>
    <w:p w14:paraId="44319A9A" w14:textId="77777777" w:rsidR="00F749FE" w:rsidRPr="00F749FE" w:rsidRDefault="00F749FE" w:rsidP="00F749FE">
      <w:pPr>
        <w:numPr>
          <w:ilvl w:val="0"/>
          <w:numId w:val="6"/>
        </w:numPr>
        <w:spacing w:after="0" w:line="240" w:lineRule="auto"/>
      </w:pPr>
      <w:r w:rsidRPr="00F749FE">
        <w:t>Is 24x7 coverage required for alert monitoring and response, or just incident escalation?</w:t>
      </w:r>
    </w:p>
    <w:p w14:paraId="3E04D0F3" w14:textId="77777777" w:rsidR="00F749FE" w:rsidRPr="00F749FE" w:rsidRDefault="00F749FE" w:rsidP="00F749FE">
      <w:pPr>
        <w:numPr>
          <w:ilvl w:val="0"/>
          <w:numId w:val="6"/>
        </w:numPr>
        <w:spacing w:after="0" w:line="240" w:lineRule="auto"/>
      </w:pPr>
      <w:r w:rsidRPr="00F749FE">
        <w:lastRenderedPageBreak/>
        <w:t>Do you require documented runbooks for security incidents? Who is responsible for post-incident reviews?</w:t>
      </w:r>
    </w:p>
    <w:p w14:paraId="59D0CD4C" w14:textId="77777777" w:rsidR="00F749FE" w:rsidRPr="00F749FE" w:rsidRDefault="00F749FE" w:rsidP="00F749FE">
      <w:pPr>
        <w:spacing w:after="0" w:line="240" w:lineRule="auto"/>
      </w:pPr>
    </w:p>
    <w:p w14:paraId="3A60C057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Patch &amp; Endpoint Management</w:t>
      </w:r>
    </w:p>
    <w:p w14:paraId="2CBF9A61" w14:textId="77777777" w:rsidR="00F749FE" w:rsidRPr="00F749FE" w:rsidRDefault="00F749FE" w:rsidP="00F749FE">
      <w:pPr>
        <w:numPr>
          <w:ilvl w:val="0"/>
          <w:numId w:val="7"/>
        </w:numPr>
        <w:spacing w:after="0" w:line="240" w:lineRule="auto"/>
      </w:pPr>
      <w:r w:rsidRPr="00F749FE">
        <w:t>How many endpoints (Windows, macOS, Linux, mobile) and what diversity of device types are supported?</w:t>
      </w:r>
    </w:p>
    <w:p w14:paraId="4D924DBC" w14:textId="77777777" w:rsidR="00F749FE" w:rsidRPr="00F749FE" w:rsidRDefault="00F749FE" w:rsidP="00F749FE">
      <w:pPr>
        <w:numPr>
          <w:ilvl w:val="0"/>
          <w:numId w:val="7"/>
        </w:numPr>
        <w:spacing w:after="0" w:line="240" w:lineRule="auto"/>
      </w:pPr>
      <w:r w:rsidRPr="00F749FE">
        <w:t>Can you provide your Patch Management Policy? Are there compliance deadlines or maintenance windows to observe?</w:t>
      </w:r>
    </w:p>
    <w:p w14:paraId="00BCFE9E" w14:textId="77777777" w:rsidR="00F749FE" w:rsidRPr="00F749FE" w:rsidRDefault="00F749FE" w:rsidP="00F749FE">
      <w:pPr>
        <w:numPr>
          <w:ilvl w:val="0"/>
          <w:numId w:val="7"/>
        </w:numPr>
        <w:spacing w:after="0" w:line="240" w:lineRule="auto"/>
      </w:pPr>
      <w:r w:rsidRPr="00F749FE">
        <w:t>Are there existing tools (like Action1) for patch deployment, or should we propose alternatives?</w:t>
      </w:r>
    </w:p>
    <w:p w14:paraId="6D80944A" w14:textId="77777777" w:rsidR="00F749FE" w:rsidRPr="00F749FE" w:rsidRDefault="00F749FE" w:rsidP="00F749FE">
      <w:pPr>
        <w:numPr>
          <w:ilvl w:val="0"/>
          <w:numId w:val="7"/>
        </w:numPr>
        <w:spacing w:after="0" w:line="240" w:lineRule="auto"/>
      </w:pPr>
      <w:r w:rsidRPr="00F749FE">
        <w:t>What level of detail and frequency do you require for patch compliance and vulnerability reports?</w:t>
      </w:r>
    </w:p>
    <w:p w14:paraId="78C5D11E" w14:textId="77777777" w:rsidR="00F749FE" w:rsidRPr="00F749FE" w:rsidRDefault="00F749FE" w:rsidP="00F749FE">
      <w:pPr>
        <w:numPr>
          <w:ilvl w:val="0"/>
          <w:numId w:val="7"/>
        </w:numPr>
        <w:spacing w:after="0" w:line="240" w:lineRule="auto"/>
      </w:pPr>
      <w:r w:rsidRPr="00F749FE">
        <w:t>Are there specific software inventory or license compliance audit requirements?</w:t>
      </w:r>
    </w:p>
    <w:p w14:paraId="57F46967" w14:textId="77777777" w:rsidR="00F749FE" w:rsidRPr="00F749FE" w:rsidRDefault="00F749FE" w:rsidP="00F749FE">
      <w:pPr>
        <w:numPr>
          <w:ilvl w:val="0"/>
          <w:numId w:val="7"/>
        </w:numPr>
        <w:spacing w:after="0" w:line="240" w:lineRule="auto"/>
      </w:pPr>
      <w:r w:rsidRPr="00F749FE">
        <w:t>Should new endpoint deployment include imaging, software provisioning, and asset tagging?</w:t>
      </w:r>
    </w:p>
    <w:p w14:paraId="567C77D9" w14:textId="77777777" w:rsidR="00F749FE" w:rsidRPr="00F749FE" w:rsidRDefault="00F749FE" w:rsidP="00F749FE">
      <w:pPr>
        <w:spacing w:after="0" w:line="240" w:lineRule="auto"/>
      </w:pPr>
    </w:p>
    <w:p w14:paraId="000E9B19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Monitoring &amp; Observability</w:t>
      </w:r>
    </w:p>
    <w:p w14:paraId="4B60CAB3" w14:textId="77777777" w:rsidR="00F749FE" w:rsidRPr="00F749FE" w:rsidRDefault="00F749FE" w:rsidP="00F749FE">
      <w:pPr>
        <w:numPr>
          <w:ilvl w:val="0"/>
          <w:numId w:val="8"/>
        </w:numPr>
        <w:spacing w:after="0" w:line="240" w:lineRule="auto"/>
      </w:pPr>
      <w:r w:rsidRPr="00F749FE">
        <w:t>What are the service uptime and availability SLAs by application or environment?</w:t>
      </w:r>
    </w:p>
    <w:p w14:paraId="5B4D0CD8" w14:textId="77777777" w:rsidR="00F749FE" w:rsidRPr="00F749FE" w:rsidRDefault="00F749FE" w:rsidP="00F749FE">
      <w:pPr>
        <w:numPr>
          <w:ilvl w:val="0"/>
          <w:numId w:val="8"/>
        </w:numPr>
        <w:spacing w:after="0" w:line="240" w:lineRule="auto"/>
      </w:pPr>
      <w:r w:rsidRPr="00F749FE">
        <w:t>Which monitoring tools are in-place for infrastructure, applications, and user experience? Should these be maintained, migrated, or replaced?</w:t>
      </w:r>
    </w:p>
    <w:p w14:paraId="35F29D73" w14:textId="77777777" w:rsidR="00F749FE" w:rsidRPr="00F749FE" w:rsidRDefault="00F749FE" w:rsidP="00F749FE">
      <w:pPr>
        <w:numPr>
          <w:ilvl w:val="0"/>
          <w:numId w:val="8"/>
        </w:numPr>
        <w:spacing w:after="0" w:line="240" w:lineRule="auto"/>
      </w:pPr>
      <w:r w:rsidRPr="00F749FE">
        <w:t>Are there existing standards for centralized log storage, retention times, and automated alerting?</w:t>
      </w:r>
    </w:p>
    <w:p w14:paraId="378F1C98" w14:textId="77777777" w:rsidR="00F749FE" w:rsidRPr="00F749FE" w:rsidRDefault="00F749FE" w:rsidP="00F749FE">
      <w:pPr>
        <w:numPr>
          <w:ilvl w:val="0"/>
          <w:numId w:val="8"/>
        </w:numPr>
        <w:spacing w:after="0" w:line="240" w:lineRule="auto"/>
      </w:pPr>
      <w:r w:rsidRPr="00F749FE">
        <w:t>What are the expectations for monitoring dashboards, reporting cadence, and notification channels?</w:t>
      </w:r>
    </w:p>
    <w:p w14:paraId="0848C891" w14:textId="77777777" w:rsidR="00F749FE" w:rsidRPr="00F749FE" w:rsidRDefault="00F749FE" w:rsidP="00F749FE">
      <w:pPr>
        <w:spacing w:after="0" w:line="240" w:lineRule="auto"/>
      </w:pPr>
    </w:p>
    <w:p w14:paraId="6B4311E1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Software License &amp; Application Administration</w:t>
      </w:r>
    </w:p>
    <w:p w14:paraId="0711CF37" w14:textId="77777777" w:rsidR="00F749FE" w:rsidRPr="00F749FE" w:rsidRDefault="00F749FE" w:rsidP="00F749FE">
      <w:pPr>
        <w:numPr>
          <w:ilvl w:val="0"/>
          <w:numId w:val="9"/>
        </w:numPr>
        <w:spacing w:after="0" w:line="240" w:lineRule="auto"/>
      </w:pPr>
      <w:r w:rsidRPr="00F749FE">
        <w:t>Which applications/licenses are in scope, and what are current counts and contract expiration dates?</w:t>
      </w:r>
    </w:p>
    <w:p w14:paraId="514728CD" w14:textId="77777777" w:rsidR="00F749FE" w:rsidRPr="00F749FE" w:rsidRDefault="00F749FE" w:rsidP="00F749FE">
      <w:pPr>
        <w:numPr>
          <w:ilvl w:val="0"/>
          <w:numId w:val="9"/>
        </w:numPr>
        <w:spacing w:after="0" w:line="240" w:lineRule="auto"/>
      </w:pPr>
      <w:r w:rsidRPr="00F749FE">
        <w:t>Are there preferred tools or platforms for tracking license usage and optimizing renewals?</w:t>
      </w:r>
    </w:p>
    <w:p w14:paraId="31F526AD" w14:textId="77777777" w:rsidR="00F749FE" w:rsidRPr="00F749FE" w:rsidRDefault="00F749FE" w:rsidP="00F749FE">
      <w:pPr>
        <w:numPr>
          <w:ilvl w:val="0"/>
          <w:numId w:val="9"/>
        </w:numPr>
        <w:spacing w:after="0" w:line="240" w:lineRule="auto"/>
      </w:pPr>
      <w:r w:rsidRPr="00F749FE">
        <w:t>Is license management for renewals, procurement, and budgeting required or just usage monitoring?</w:t>
      </w:r>
    </w:p>
    <w:p w14:paraId="24D98B66" w14:textId="77777777" w:rsidR="00F749FE" w:rsidRPr="00F749FE" w:rsidRDefault="00F749FE" w:rsidP="00F749FE">
      <w:pPr>
        <w:numPr>
          <w:ilvl w:val="0"/>
          <w:numId w:val="9"/>
        </w:numPr>
        <w:spacing w:after="0" w:line="240" w:lineRule="auto"/>
      </w:pPr>
      <w:r w:rsidRPr="00F749FE">
        <w:t>Are there regular audits or reports required for software compliance or vendor licensing?</w:t>
      </w:r>
    </w:p>
    <w:p w14:paraId="48C585A5" w14:textId="77777777" w:rsidR="00F749FE" w:rsidRPr="00F749FE" w:rsidRDefault="00F749FE" w:rsidP="00F749FE">
      <w:pPr>
        <w:spacing w:after="0" w:line="240" w:lineRule="auto"/>
      </w:pPr>
    </w:p>
    <w:p w14:paraId="5CA4F09E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Helpdesk &amp; End-User Support</w:t>
      </w:r>
    </w:p>
    <w:p w14:paraId="3EAFC9E5" w14:textId="77777777" w:rsidR="00F749FE" w:rsidRPr="00F749FE" w:rsidRDefault="00F749FE" w:rsidP="00F749FE">
      <w:pPr>
        <w:numPr>
          <w:ilvl w:val="0"/>
          <w:numId w:val="10"/>
        </w:numPr>
        <w:spacing w:after="0" w:line="240" w:lineRule="auto"/>
      </w:pPr>
      <w:r w:rsidRPr="00F749FE">
        <w:t>What is your approximate end-user count and geographical distribution?</w:t>
      </w:r>
    </w:p>
    <w:p w14:paraId="78E130A0" w14:textId="77777777" w:rsidR="00F749FE" w:rsidRPr="00F749FE" w:rsidRDefault="00F749FE" w:rsidP="00F749FE">
      <w:pPr>
        <w:numPr>
          <w:ilvl w:val="0"/>
          <w:numId w:val="10"/>
        </w:numPr>
        <w:spacing w:after="0" w:line="240" w:lineRule="auto"/>
      </w:pPr>
      <w:r w:rsidRPr="00F749FE">
        <w:t>What hours and channels (phone, email, chat, portal) of support are required for Tiers 1–3?</w:t>
      </w:r>
    </w:p>
    <w:p w14:paraId="7213738A" w14:textId="77777777" w:rsidR="00F749FE" w:rsidRPr="00F749FE" w:rsidRDefault="00F749FE" w:rsidP="00F749FE">
      <w:pPr>
        <w:numPr>
          <w:ilvl w:val="0"/>
          <w:numId w:val="10"/>
        </w:numPr>
        <w:spacing w:after="0" w:line="240" w:lineRule="auto"/>
      </w:pPr>
      <w:r w:rsidRPr="00F749FE">
        <w:t>What is the onboarding/offboarding process for users, hardware, and software provisioning? Any third-party integration (e.g., Dell leasing)?</w:t>
      </w:r>
    </w:p>
    <w:p w14:paraId="6F447A6D" w14:textId="77777777" w:rsidR="00F749FE" w:rsidRPr="00F749FE" w:rsidRDefault="00F749FE" w:rsidP="00F749FE">
      <w:pPr>
        <w:numPr>
          <w:ilvl w:val="0"/>
          <w:numId w:val="10"/>
        </w:numPr>
        <w:spacing w:after="0" w:line="240" w:lineRule="auto"/>
      </w:pPr>
      <w:r w:rsidRPr="00F749FE">
        <w:t>Is there an asset lifecycle management process the MSP needs to interface with or re-design?</w:t>
      </w:r>
    </w:p>
    <w:p w14:paraId="3119AD32" w14:textId="77777777" w:rsidR="00F749FE" w:rsidRPr="00F749FE" w:rsidRDefault="00F749FE" w:rsidP="00F749FE">
      <w:pPr>
        <w:numPr>
          <w:ilvl w:val="0"/>
          <w:numId w:val="10"/>
        </w:numPr>
        <w:spacing w:after="0" w:line="240" w:lineRule="auto"/>
      </w:pPr>
      <w:r w:rsidRPr="00F749FE">
        <w:lastRenderedPageBreak/>
        <w:t>Which collaboration and productivity tools require support (Google Workspace, Slack, Zoom)? Are there integration requirements or restrictions?</w:t>
      </w:r>
    </w:p>
    <w:p w14:paraId="41162BE9" w14:textId="77777777" w:rsidR="00F749FE" w:rsidRPr="00F749FE" w:rsidRDefault="00F749FE" w:rsidP="00F749FE">
      <w:pPr>
        <w:spacing w:after="0" w:line="240" w:lineRule="auto"/>
      </w:pPr>
    </w:p>
    <w:p w14:paraId="0A9F4DD5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Compliance Support (SOC 2 &amp; Vendor Due Diligence)</w:t>
      </w:r>
    </w:p>
    <w:p w14:paraId="1C79A319" w14:textId="77777777" w:rsidR="00F749FE" w:rsidRPr="00F749FE" w:rsidRDefault="00F749FE" w:rsidP="00F749FE">
      <w:pPr>
        <w:numPr>
          <w:ilvl w:val="0"/>
          <w:numId w:val="11"/>
        </w:numPr>
        <w:spacing w:after="0" w:line="240" w:lineRule="auto"/>
      </w:pPr>
      <w:r w:rsidRPr="00F749FE">
        <w:t>What is your current SOC 2 compliance status and audit cadence?</w:t>
      </w:r>
    </w:p>
    <w:p w14:paraId="0172AAD6" w14:textId="77777777" w:rsidR="00F749FE" w:rsidRPr="00F749FE" w:rsidRDefault="00F749FE" w:rsidP="00F749FE">
      <w:pPr>
        <w:numPr>
          <w:ilvl w:val="0"/>
          <w:numId w:val="11"/>
        </w:numPr>
        <w:spacing w:after="0" w:line="240" w:lineRule="auto"/>
      </w:pPr>
      <w:r w:rsidRPr="00F749FE">
        <w:t>Which documentation artifacts are needed for audit prep (policies, controls, technical evidence)?</w:t>
      </w:r>
    </w:p>
    <w:p w14:paraId="2710826D" w14:textId="77777777" w:rsidR="00F749FE" w:rsidRPr="00F749FE" w:rsidRDefault="00F749FE" w:rsidP="00F749FE">
      <w:pPr>
        <w:numPr>
          <w:ilvl w:val="0"/>
          <w:numId w:val="11"/>
        </w:numPr>
        <w:spacing w:after="0" w:line="240" w:lineRule="auto"/>
      </w:pPr>
      <w:r w:rsidRPr="00F749FE">
        <w:t>Who in your organization is the primary point of contact for compliance activities?</w:t>
      </w:r>
    </w:p>
    <w:p w14:paraId="3F68494B" w14:textId="77777777" w:rsidR="00F749FE" w:rsidRPr="00F749FE" w:rsidRDefault="00F749FE" w:rsidP="00F749FE">
      <w:pPr>
        <w:numPr>
          <w:ilvl w:val="0"/>
          <w:numId w:val="11"/>
        </w:numPr>
        <w:spacing w:after="0" w:line="240" w:lineRule="auto"/>
      </w:pPr>
      <w:r w:rsidRPr="00F749FE">
        <w:t>Do you have preferred tools for tracking and responding to client/vendor questionnaires?</w:t>
      </w:r>
    </w:p>
    <w:p w14:paraId="1ED0A258" w14:textId="77777777" w:rsidR="00F749FE" w:rsidRPr="00F749FE" w:rsidRDefault="00F749FE" w:rsidP="00F749FE">
      <w:pPr>
        <w:numPr>
          <w:ilvl w:val="0"/>
          <w:numId w:val="11"/>
        </w:numPr>
        <w:spacing w:after="0" w:line="240" w:lineRule="auto"/>
      </w:pPr>
      <w:r w:rsidRPr="00F749FE">
        <w:t>How frequently are risk assessments, vulnerability scans, and compliance reviews required, and what are the reporting expectations?</w:t>
      </w:r>
    </w:p>
    <w:p w14:paraId="44F0CEE7" w14:textId="77777777" w:rsidR="00F749FE" w:rsidRPr="00F749FE" w:rsidRDefault="00F749FE" w:rsidP="00F749FE">
      <w:pPr>
        <w:spacing w:after="0" w:line="240" w:lineRule="auto"/>
      </w:pPr>
    </w:p>
    <w:p w14:paraId="653E51F3" w14:textId="77777777" w:rsidR="00F749FE" w:rsidRPr="00F749FE" w:rsidRDefault="00F749FE" w:rsidP="00F749FE">
      <w:pPr>
        <w:spacing w:after="0" w:line="240" w:lineRule="auto"/>
        <w:rPr>
          <w:b/>
          <w:bCs/>
        </w:rPr>
      </w:pPr>
      <w:r w:rsidRPr="00F749FE">
        <w:rPr>
          <w:b/>
          <w:bCs/>
        </w:rPr>
        <w:t>TSA Exit &amp; Migration Projects</w:t>
      </w:r>
    </w:p>
    <w:p w14:paraId="22DAD5E9" w14:textId="77777777" w:rsidR="00F749FE" w:rsidRPr="00F749FE" w:rsidRDefault="00F749FE" w:rsidP="00F749FE">
      <w:pPr>
        <w:numPr>
          <w:ilvl w:val="0"/>
          <w:numId w:val="12"/>
        </w:numPr>
        <w:spacing w:after="0" w:line="240" w:lineRule="auto"/>
      </w:pPr>
      <w:r w:rsidRPr="00F749FE">
        <w:t>What systems or services are currently covered by TSAs, and what are the deadlines for exit?</w:t>
      </w:r>
    </w:p>
    <w:p w14:paraId="404CFE12" w14:textId="77777777" w:rsidR="00F749FE" w:rsidRPr="00F749FE" w:rsidRDefault="00F749FE" w:rsidP="00F749FE">
      <w:pPr>
        <w:numPr>
          <w:ilvl w:val="0"/>
          <w:numId w:val="12"/>
        </w:numPr>
        <w:spacing w:after="0" w:line="240" w:lineRule="auto"/>
      </w:pPr>
      <w:r w:rsidRPr="00F749FE">
        <w:t>Is there a prioritized migration roadmap, or should the MSP advise on migration sequencing?</w:t>
      </w:r>
    </w:p>
    <w:p w14:paraId="64BBDBBE" w14:textId="77777777" w:rsidR="00F749FE" w:rsidRPr="00F749FE" w:rsidRDefault="00F749FE" w:rsidP="00F749FE">
      <w:pPr>
        <w:numPr>
          <w:ilvl w:val="0"/>
          <w:numId w:val="12"/>
        </w:numPr>
        <w:spacing w:after="0" w:line="240" w:lineRule="auto"/>
      </w:pPr>
      <w:r w:rsidRPr="00F749FE">
        <w:t>Are there known technical, organizational, or data security barriers to migration?</w:t>
      </w:r>
    </w:p>
    <w:p w14:paraId="15E9F4BF" w14:textId="77777777" w:rsidR="00F749FE" w:rsidRPr="00F749FE" w:rsidRDefault="00F749FE" w:rsidP="00F749FE">
      <w:pPr>
        <w:numPr>
          <w:ilvl w:val="0"/>
          <w:numId w:val="12"/>
        </w:numPr>
        <w:spacing w:after="0" w:line="240" w:lineRule="auto"/>
      </w:pPr>
      <w:r w:rsidRPr="00F749FE">
        <w:t>What is your preferred communication and project management process for migration activities?</w:t>
      </w:r>
    </w:p>
    <w:p w14:paraId="4B5F0C5E" w14:textId="77777777" w:rsidR="00F749FE" w:rsidRPr="00F749FE" w:rsidRDefault="00F749FE" w:rsidP="00F749FE">
      <w:pPr>
        <w:numPr>
          <w:ilvl w:val="0"/>
          <w:numId w:val="12"/>
        </w:numPr>
        <w:spacing w:after="0" w:line="240" w:lineRule="auto"/>
      </w:pPr>
      <w:r w:rsidRPr="00F749FE">
        <w:t>Will MSP resources require on-site presence or involvement for any phase of migration or cutover events?</w:t>
      </w:r>
    </w:p>
    <w:p w14:paraId="186A48D8" w14:textId="77777777" w:rsidR="00F749FE" w:rsidRPr="00F749FE" w:rsidRDefault="00F749FE" w:rsidP="00F749FE">
      <w:pPr>
        <w:spacing w:after="0" w:line="240" w:lineRule="auto"/>
      </w:pPr>
    </w:p>
    <w:p w14:paraId="40794004" w14:textId="4723FCD2" w:rsidR="00F749FE" w:rsidRPr="00F749FE" w:rsidRDefault="00F749FE" w:rsidP="00F749FE">
      <w:pPr>
        <w:spacing w:after="0" w:line="240" w:lineRule="auto"/>
      </w:pPr>
    </w:p>
    <w:p w14:paraId="509E3583" w14:textId="77777777" w:rsidR="00F749FE" w:rsidRDefault="00F749FE" w:rsidP="00F749FE">
      <w:pPr>
        <w:spacing w:after="0" w:line="240" w:lineRule="auto"/>
      </w:pPr>
    </w:p>
    <w:sectPr w:rsidR="00F749F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53BCE" w14:textId="77777777" w:rsidR="005D7991" w:rsidRDefault="005D7991" w:rsidP="00713369">
      <w:pPr>
        <w:spacing w:after="0" w:line="240" w:lineRule="auto"/>
      </w:pPr>
      <w:r>
        <w:separator/>
      </w:r>
    </w:p>
  </w:endnote>
  <w:endnote w:type="continuationSeparator" w:id="0">
    <w:p w14:paraId="552C2CC5" w14:textId="77777777" w:rsidR="005D7991" w:rsidRDefault="005D7991" w:rsidP="0071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1DEB6" w14:textId="77777777" w:rsidR="005D7991" w:rsidRDefault="005D7991" w:rsidP="00713369">
      <w:pPr>
        <w:spacing w:after="0" w:line="240" w:lineRule="auto"/>
      </w:pPr>
      <w:r>
        <w:separator/>
      </w:r>
    </w:p>
  </w:footnote>
  <w:footnote w:type="continuationSeparator" w:id="0">
    <w:p w14:paraId="5EEC6C72" w14:textId="77777777" w:rsidR="005D7991" w:rsidRDefault="005D7991" w:rsidP="00713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A67FF" w14:textId="4A465740" w:rsidR="00713369" w:rsidRDefault="007133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8E1742" wp14:editId="61D6C2D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548255" cy="370205"/>
              <wp:effectExtent l="0" t="0" r="4445" b="10795"/>
              <wp:wrapNone/>
              <wp:docPr id="538041340" name="Text Box 2" descr="Dell Customer Communication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8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51E69" w14:textId="042C8833" w:rsidR="00713369" w:rsidRPr="00713369" w:rsidRDefault="00713369" w:rsidP="007133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713369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8E17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ell Customer Communication - Confidential" style="position:absolute;margin-left:0;margin-top:0;width:200.6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jbDQIAABs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" filled="f" stroked="f">
              <v:textbox style="mso-fit-shape-to-text:t" inset="20pt,15pt,0,0">
                <w:txbxContent>
                  <w:p w14:paraId="6BC51E69" w14:textId="042C8833" w:rsidR="00713369" w:rsidRPr="00713369" w:rsidRDefault="00713369" w:rsidP="007133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713369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BE3E5" w14:textId="4E8308CD" w:rsidR="00713369" w:rsidRDefault="007133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57BD0" wp14:editId="6EEF59C5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548255" cy="370205"/>
              <wp:effectExtent l="0" t="0" r="4445" b="10795"/>
              <wp:wrapNone/>
              <wp:docPr id="1813070984" name="Text Box 3" descr="Dell Customer Communication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8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6D6338" w14:textId="26842D64" w:rsidR="00713369" w:rsidRPr="00713369" w:rsidRDefault="00713369" w:rsidP="007133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713369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57B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ell Customer Communication - Confidential" style="position:absolute;margin-left:0;margin-top:0;width:200.6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RwEQIAACI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" filled="f" stroked="f">
              <v:textbox style="mso-fit-shape-to-text:t" inset="20pt,15pt,0,0">
                <w:txbxContent>
                  <w:p w14:paraId="536D6338" w14:textId="26842D64" w:rsidR="00713369" w:rsidRPr="00713369" w:rsidRDefault="00713369" w:rsidP="007133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713369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EDC2C" w14:textId="609C4D8D" w:rsidR="00713369" w:rsidRDefault="0071336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57F8B5" wp14:editId="145123C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548255" cy="370205"/>
              <wp:effectExtent l="0" t="0" r="4445" b="10795"/>
              <wp:wrapNone/>
              <wp:docPr id="1591174241" name="Text Box 1" descr="Dell Customer Communication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8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CEC7C" w14:textId="074928A4" w:rsidR="00713369" w:rsidRPr="00713369" w:rsidRDefault="00713369" w:rsidP="007133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713369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57F8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ell Customer Communication - Confidential" style="position:absolute;margin-left:0;margin-top:0;width:200.6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cyEgIAACI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" filled="f" stroked="f">
              <v:textbox style="mso-fit-shape-to-text:t" inset="20pt,15pt,0,0">
                <w:txbxContent>
                  <w:p w14:paraId="473CEC7C" w14:textId="074928A4" w:rsidR="00713369" w:rsidRPr="00713369" w:rsidRDefault="00713369" w:rsidP="007133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713369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120D"/>
    <w:multiLevelType w:val="multilevel"/>
    <w:tmpl w:val="729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C233C"/>
    <w:multiLevelType w:val="multilevel"/>
    <w:tmpl w:val="F17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C7F74"/>
    <w:multiLevelType w:val="multilevel"/>
    <w:tmpl w:val="9780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7072E"/>
    <w:multiLevelType w:val="multilevel"/>
    <w:tmpl w:val="4D8C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43456"/>
    <w:multiLevelType w:val="multilevel"/>
    <w:tmpl w:val="1A5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02486"/>
    <w:multiLevelType w:val="multilevel"/>
    <w:tmpl w:val="D4125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1FA2F2F"/>
    <w:multiLevelType w:val="multilevel"/>
    <w:tmpl w:val="D436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D45D5"/>
    <w:multiLevelType w:val="multilevel"/>
    <w:tmpl w:val="8B8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07DB9"/>
    <w:multiLevelType w:val="multilevel"/>
    <w:tmpl w:val="CDD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4248A"/>
    <w:multiLevelType w:val="hybridMultilevel"/>
    <w:tmpl w:val="25E06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C20BB"/>
    <w:multiLevelType w:val="multilevel"/>
    <w:tmpl w:val="C6C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23A97"/>
    <w:multiLevelType w:val="multilevel"/>
    <w:tmpl w:val="D31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A571F"/>
    <w:multiLevelType w:val="multilevel"/>
    <w:tmpl w:val="31EA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038177">
    <w:abstractNumId w:val="9"/>
  </w:num>
  <w:num w:numId="2" w16cid:durableId="131483070">
    <w:abstractNumId w:val="5"/>
  </w:num>
  <w:num w:numId="3" w16cid:durableId="206912665">
    <w:abstractNumId w:val="4"/>
  </w:num>
  <w:num w:numId="4" w16cid:durableId="973296231">
    <w:abstractNumId w:val="2"/>
  </w:num>
  <w:num w:numId="5" w16cid:durableId="1965502552">
    <w:abstractNumId w:val="11"/>
  </w:num>
  <w:num w:numId="6" w16cid:durableId="2122186955">
    <w:abstractNumId w:val="3"/>
  </w:num>
  <w:num w:numId="7" w16cid:durableId="1423723897">
    <w:abstractNumId w:val="10"/>
  </w:num>
  <w:num w:numId="8" w16cid:durableId="94596944">
    <w:abstractNumId w:val="6"/>
  </w:num>
  <w:num w:numId="9" w16cid:durableId="1024556955">
    <w:abstractNumId w:val="1"/>
  </w:num>
  <w:num w:numId="10" w16cid:durableId="583564521">
    <w:abstractNumId w:val="8"/>
  </w:num>
  <w:num w:numId="11" w16cid:durableId="1562403931">
    <w:abstractNumId w:val="12"/>
  </w:num>
  <w:num w:numId="12" w16cid:durableId="1257442855">
    <w:abstractNumId w:val="7"/>
  </w:num>
  <w:num w:numId="13" w16cid:durableId="118582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71"/>
    <w:rsid w:val="000C25B8"/>
    <w:rsid w:val="000D78E0"/>
    <w:rsid w:val="000E5B0A"/>
    <w:rsid w:val="002B7D01"/>
    <w:rsid w:val="002E6F73"/>
    <w:rsid w:val="00332DE7"/>
    <w:rsid w:val="00404241"/>
    <w:rsid w:val="005826FB"/>
    <w:rsid w:val="005D0FB6"/>
    <w:rsid w:val="005D7991"/>
    <w:rsid w:val="005E2B06"/>
    <w:rsid w:val="00713369"/>
    <w:rsid w:val="007655C3"/>
    <w:rsid w:val="007C1EAE"/>
    <w:rsid w:val="007D2FB0"/>
    <w:rsid w:val="008471AF"/>
    <w:rsid w:val="00917ACF"/>
    <w:rsid w:val="00920DF4"/>
    <w:rsid w:val="00981C71"/>
    <w:rsid w:val="009D25D5"/>
    <w:rsid w:val="00A46506"/>
    <w:rsid w:val="00C22CCA"/>
    <w:rsid w:val="00E51A2D"/>
    <w:rsid w:val="00F749FE"/>
    <w:rsid w:val="00F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822AF"/>
  <w15:chartTrackingRefBased/>
  <w15:docId w15:val="{61E4FCF8-FC58-440A-9CCD-B3F47984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C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369"/>
  </w:style>
  <w:style w:type="paragraph" w:styleId="Footer">
    <w:name w:val="footer"/>
    <w:basedOn w:val="Normal"/>
    <w:link w:val="FooterChar"/>
    <w:uiPriority w:val="99"/>
    <w:unhideWhenUsed/>
    <w:rsid w:val="00F7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4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Jenna</dc:creator>
  <cp:keywords/>
  <dc:description/>
  <cp:lastModifiedBy>Quinn, Jenna</cp:lastModifiedBy>
  <cp:revision>7</cp:revision>
  <dcterms:created xsi:type="dcterms:W3CDTF">2025-07-02T22:13:00Z</dcterms:created>
  <dcterms:modified xsi:type="dcterms:W3CDTF">2025-07-07T15:49:00Z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5ed76461,2011dbfc,6c114488</vt:lpwstr>
  </property>
  <property fmtid="{D5CDD505-2E9C-101B-9397-08002B2CF9AE}" pid="3" name="ClassificationContentMarkingHeaderFontProps">
    <vt:lpwstr>#737373,10,Calibri</vt:lpwstr>
  </property>
  <property fmtid="{D5CDD505-2E9C-101B-9397-08002B2CF9AE}" pid="4" name="ClassificationContentMarkingHeaderText">
    <vt:lpwstr>Dell Customer Communication - Confidential</vt:lpwstr>
  </property>
  <property fmtid="{D5CDD505-2E9C-101B-9397-08002B2CF9AE}" pid="5" name="MSIP_Label_80744d05-bb34-4b7a-90cc-132cbdb578be_Enabled">
    <vt:lpwstr>true</vt:lpwstr>
  </property>
  <property fmtid="{D5CDD505-2E9C-101B-9397-08002B2CF9AE}" pid="6" name="MSIP_Label_80744d05-bb34-4b7a-90cc-132cbdb578be_SetDate">
    <vt:lpwstr>2025-07-01T17:25:10Z</vt:lpwstr>
  </property>
  <property fmtid="{D5CDD505-2E9C-101B-9397-08002B2CF9AE}" pid="7" name="MSIP_Label_80744d05-bb34-4b7a-90cc-132cbdb578be_Method">
    <vt:lpwstr>Privileged</vt:lpwstr>
  </property>
  <property fmtid="{D5CDD505-2E9C-101B-9397-08002B2CF9AE}" pid="8" name="MSIP_Label_80744d05-bb34-4b7a-90cc-132cbdb578be_Name">
    <vt:lpwstr>No Protection (Label Only)</vt:lpwstr>
  </property>
  <property fmtid="{D5CDD505-2E9C-101B-9397-08002B2CF9AE}" pid="9" name="MSIP_Label_80744d05-bb34-4b7a-90cc-132cbdb578be_SiteId">
    <vt:lpwstr>945c199a-83a2-4e80-9f8c-5a91be5752dd</vt:lpwstr>
  </property>
  <property fmtid="{D5CDD505-2E9C-101B-9397-08002B2CF9AE}" pid="10" name="MSIP_Label_80744d05-bb34-4b7a-90cc-132cbdb578be_ActionId">
    <vt:lpwstr>b1f1cd0f-af19-4b9a-824e-866515d972a0</vt:lpwstr>
  </property>
  <property fmtid="{D5CDD505-2E9C-101B-9397-08002B2CF9AE}" pid="11" name="MSIP_Label_80744d05-bb34-4b7a-90cc-132cbdb578be_ContentBits">
    <vt:lpwstr>1</vt:lpwstr>
  </property>
  <property fmtid="{D5CDD505-2E9C-101B-9397-08002B2CF9AE}" pid="12" name="MSIP_Label_80744d05-bb34-4b7a-90cc-132cbdb578be_Tag">
    <vt:lpwstr>10, 0, 1, 1</vt:lpwstr>
  </property>
</Properties>
</file>