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after="40"/>
        <w:jc w:val="center"/>
      </w:pPr>
      <w:r>
        <w:rPr>
          <w:rFonts w:ascii="黑体" w:hAnsi="黑体" w:eastAsia="黑体"/>
          <w:b/>
          <w:color w:val="1F2D50"/>
          <w:sz w:val="32"/>
        </w:rPr>
        <w:t>湖南省社会科学基金项目 2026 年度课题指南</w:t>
      </w:r>
    </w:p>
    <w:p>
      <w:pPr>
        <w:spacing w:line="336" w:lineRule="auto" w:after="200"/>
        <w:jc w:val="center"/>
      </w:pPr>
      <w:r>
        <w:rPr>
          <w:rFonts w:ascii="黑体" w:hAnsi="黑体" w:eastAsia="黑体"/>
          <w:b/>
          <w:color w:val="1F2D50"/>
          <w:sz w:val="30"/>
        </w:rPr>
        <w:t>第 166、165 项课题方向调研</w:t>
      </w:r>
    </w:p>
    <w:p>
      <w:pPr>
        <w:spacing w:line="336" w:lineRule="auto" w:after="160"/>
      </w:pPr>
      <w:r>
        <w:rPr>
          <w:rFonts w:ascii="黑体" w:hAnsi="黑体" w:eastAsia="黑体"/>
          <w:b/>
          <w:color w:val="1F2D50"/>
          <w:sz w:val="28"/>
        </w:rPr>
        <w:t>一、方向 166:湖南古籍数字资源建设与智能整理研究(重点方向)</w:t>
      </w:r>
    </w:p>
    <w:p>
      <w:pPr>
        <w:spacing w:line="336" w:lineRule="auto" w:after="120"/>
      </w:pPr>
      <w:r>
        <w:rPr>
          <w:rFonts w:ascii="黑体" w:hAnsi="黑体" w:eastAsia="黑体"/>
          <w:b/>
          <w:color w:val="1F2D50"/>
          <w:sz w:val="24"/>
        </w:rPr>
        <w:t>1. 方向内涵</w:t>
      </w:r>
    </w:p>
    <w:p>
      <w:pPr>
        <w:spacing w:line="336" w:lineRule="auto" w:after="120"/>
        <w:ind w:firstLine="420"/>
      </w:pPr>
      <w:r>
        <w:rPr>
          <w:rFonts w:ascii="宋体" w:hAnsi="宋体" w:eastAsia="宋体"/>
          <w:b w:val="0"/>
          <w:sz w:val="21"/>
        </w:rPr>
        <w:t>本方向面向湖南古籍(简牍、帛书、方志、湖湘文献等)的数字化建设与智能化整理,涵盖古籍数字化采集、文本结构化、自动句读、知识图谱构建、AI 辅助释读与智能检索服务等环节,是湖南省实施“文化+科技”融合战略、建设文化强省的基础性工作。</w:t>
      </w:r>
    </w:p>
    <w:p>
      <w:pPr>
        <w:spacing w:line="336" w:lineRule="auto" w:after="120"/>
      </w:pPr>
      <w:r>
        <w:rPr>
          <w:rFonts w:ascii="黑体" w:hAnsi="黑体" w:eastAsia="黑体"/>
          <w:b/>
          <w:color w:val="1F2D50"/>
          <w:sz w:val="24"/>
        </w:rPr>
        <w:t>2. 政策背景</w:t>
      </w:r>
    </w:p>
    <w:p>
      <w:pPr>
        <w:spacing w:line="336" w:lineRule="auto" w:after="120"/>
        <w:ind w:firstLine="420"/>
      </w:pPr>
      <w:r>
        <w:rPr>
          <w:rFonts w:ascii="宋体" w:hAnsi="宋体" w:eastAsia="宋体"/>
          <w:b w:val="0"/>
          <w:sz w:val="21"/>
        </w:rPr>
        <w:t>2024 年 11 月,习近平总书记考察云梦县博物馆时指出:“古代简牍非常珍贵,是我们国家信史的重要实物佐证,要善加保护,做好研究”,为简牍数字化保护研究提供了根本遵循。湖南省委、省政府提出“文化+科技”融合发展部署,省委书记沈晓明同志两次就里耶秦简保护研究利用作出批示;2022 年起实施“湖湘文物数字化工程”与“湖南简帛整理保护工程”,并将“推进里耶秦简数字化采集与数据库建设”列入重点工作。</w:t>
      </w:r>
    </w:p>
    <w:p>
      <w:pPr>
        <w:spacing w:line="336" w:lineRule="auto" w:after="120"/>
      </w:pPr>
      <w:r>
        <w:rPr>
          <w:rFonts w:ascii="黑体" w:hAnsi="黑体" w:eastAsia="黑体"/>
          <w:b/>
          <w:color w:val="1F2D50"/>
          <w:sz w:val="24"/>
        </w:rPr>
        <w:t>3. 湖南省已有建设进展</w:t>
      </w:r>
    </w:p>
    <w:p>
      <w:pPr>
        <w:spacing w:line="336" w:lineRule="auto" w:after="120"/>
        <w:ind w:firstLine="420"/>
      </w:pPr>
      <w:r>
        <w:rPr>
          <w:rFonts w:ascii="宋体" w:hAnsi="宋体" w:eastAsia="宋体"/>
          <w:b w:val="0"/>
          <w:sz w:val="21"/>
        </w:rPr>
        <w:t>(1) 湖南省古籍智慧化服务平台:由湖南图书馆于 2025 年建成上线,集古籍书目数据库、在线阅览、AI 句读、AI 翻译、AI 质检于一体,已上线古籍影像 10 万页、书目数据 3.6 万余条,累计访问量超 32 万人次。(2)《湖湘文库》AI 版:湖南出版集团 2025 年发布,基于 702 卷、约 4 亿字湖湘文献,融合大语言模型与知识图谱,提供 AI 辅助阅读与知识问答服务。</w:t>
      </w:r>
    </w:p>
    <w:p>
      <w:pPr>
        <w:spacing w:line="336" w:lineRule="auto" w:after="120"/>
      </w:pPr>
      <w:r>
        <w:rPr>
          <w:rFonts w:ascii="黑体" w:hAnsi="黑体" w:eastAsia="黑体"/>
          <w:b/>
          <w:color w:val="1F2D50"/>
          <w:sz w:val="24"/>
        </w:rPr>
        <w:t>4. 里耶秦简数智化现状与需求(核心场景)</w:t>
      </w:r>
    </w:p>
    <w:p>
      <w:pPr>
        <w:spacing w:line="336" w:lineRule="auto" w:after="120"/>
        <w:ind w:firstLine="420"/>
      </w:pPr>
      <w:r>
        <w:rPr>
          <w:rFonts w:ascii="宋体" w:hAnsi="宋体" w:eastAsia="宋体"/>
          <w:b w:val="0"/>
          <w:sz w:val="21"/>
        </w:rPr>
        <w:t>里耶秦简出土于湘西龙山县里耶古城,共约 3.8 万枚,有字简约 1.7 万枚,是研究秦代政治制度、基层行政的第一手珍贵史料。目前:(1) 简牍数字化采集尚未完成,湘西州政协已专题协商“加快推进数字化采集和数据库建设”;(2) 有字简释读任务繁重,传统人工释读效率低、周期长;(3) 简牍图像存在残损、字迹模糊、异体字多等难题,通用古籍 OCR 准确率仅 70%~80%;(4) 通用大模型古籍知识不足,AI 辅助释读与整理存在输出失实信息(幻觉)的风险,亟需建立面向简牍场景的失实信息抑制机制。</w:t>
      </w:r>
    </w:p>
    <w:p>
      <w:pPr>
        <w:spacing w:line="336" w:lineRule="auto" w:after="120"/>
      </w:pPr>
      <w:r>
        <w:rPr>
          <w:rFonts w:ascii="黑体" w:hAnsi="黑体" w:eastAsia="黑体"/>
          <w:b/>
          <w:color w:val="1F2D50"/>
          <w:sz w:val="24"/>
        </w:rPr>
        <w:t>5. 学校前期工作基础</w:t>
      </w:r>
    </w:p>
    <w:p>
      <w:pPr>
        <w:spacing w:line="336" w:lineRule="auto" w:after="120"/>
        <w:ind w:firstLine="420"/>
      </w:pPr>
      <w:r>
        <w:rPr>
          <w:rFonts w:ascii="宋体" w:hAnsi="宋体" w:eastAsia="宋体"/>
          <w:b w:val="0"/>
          <w:sz w:val="21"/>
        </w:rPr>
        <w:t>吉首大学于 2025 年 2 月成立里耶秦简研究院(现有教授 23 人、博士研究人员 42 人);2026 年 4 月,省教育厅、省文旅厅与吉首大学共同研究推进里耶秦简研究院建设,目标建成国家级秦简研究中心,并与湖南简帛研究中心共建联合在线研究平台。吉首大学学报已刊发《简牍数智化技术进展与展望:里耶秦简的数智化探索》,系统梳理了简牍图像增强、字符分割、字符识别与复原等技术的进展与挑战,指出当前存在“标准缺失、图像质量低”等瓶颈,为课题申报奠定了前期基础。</w:t>
      </w:r>
    </w:p>
    <w:p>
      <w:pPr>
        <w:spacing w:line="336" w:lineRule="auto" w:after="160"/>
      </w:pPr>
      <w:r>
        <w:rPr>
          <w:rFonts w:ascii="黑体" w:hAnsi="黑体" w:eastAsia="黑体"/>
          <w:b/>
          <w:color w:val="1F2D50"/>
          <w:sz w:val="28"/>
        </w:rPr>
        <w:t>二、方向 165:人工智能生成失实信息传播风险研究(交叉支撑方向)</w:t>
      </w:r>
    </w:p>
    <w:p>
      <w:pPr>
        <w:spacing w:line="336" w:lineRule="auto" w:after="120"/>
      </w:pPr>
      <w:r>
        <w:rPr>
          <w:rFonts w:ascii="黑体" w:hAnsi="黑体" w:eastAsia="黑体"/>
          <w:b/>
          <w:color w:val="1F2D50"/>
          <w:sz w:val="24"/>
        </w:rPr>
        <w:t>1. 方向内涵</w:t>
      </w:r>
    </w:p>
    <w:p>
      <w:pPr>
        <w:spacing w:line="336" w:lineRule="auto" w:after="120"/>
        <w:ind w:firstLine="420"/>
      </w:pPr>
      <w:r>
        <w:rPr>
          <w:rFonts w:ascii="宋体" w:hAnsi="宋体" w:eastAsia="宋体"/>
          <w:b w:val="0"/>
          <w:sz w:val="21"/>
        </w:rPr>
        <w:t>本方向研究生成式人工智能(大模型)所产生失实信息(即“幻觉”)的生成机理、传播规律与风险治理,核心包括失实信息的检测、抑制方法与监管框架。</w:t>
      </w:r>
    </w:p>
    <w:p>
      <w:pPr>
        <w:spacing w:line="336" w:lineRule="auto" w:after="120"/>
      </w:pPr>
      <w:r>
        <w:rPr>
          <w:rFonts w:ascii="黑体" w:hAnsi="黑体" w:eastAsia="黑体"/>
          <w:b/>
          <w:color w:val="1F2D50"/>
          <w:sz w:val="24"/>
        </w:rPr>
        <w:t>2. 研究现状</w:t>
      </w:r>
    </w:p>
    <w:p>
      <w:pPr>
        <w:spacing w:line="336" w:lineRule="auto" w:after="120"/>
        <w:ind w:firstLine="420"/>
      </w:pPr>
      <w:r>
        <w:rPr>
          <w:rFonts w:ascii="宋体" w:hAnsi="宋体" w:eastAsia="宋体"/>
          <w:b w:val="0"/>
          <w:sz w:val="21"/>
        </w:rPr>
        <w:t>国际研究在健康、政治等大众传播领域已较为活跃:2025—2026 年有多篇系统综述指出,生成式 AI 显著提高了虚假信息的产量、传播速度与感知可信度,用户区分 AI 与人类虚假信息的能力接近随机水平,检测与生成进入对抗性军备竞赛;治理策略主张按领域分层。中文研究方面,刘泽垣等《大语言模型的幻觉问题研究综述》(软件学报,2025)与袁乐等《大语言模型检索增强生成优化技术研究综述》(计算机学报,2026)系统梳理了幻觉的成因、评估与缓解技术。</w:t>
      </w:r>
    </w:p>
    <w:p>
      <w:pPr>
        <w:spacing w:line="336" w:lineRule="auto" w:after="120"/>
        <w:ind w:firstLine="420"/>
      </w:pPr>
      <w:r>
        <w:rPr>
          <w:rFonts w:ascii="宋体" w:hAnsi="宋体" w:eastAsia="宋体"/>
          <w:b w:val="0"/>
          <w:sz w:val="21"/>
        </w:rPr>
        <w:t>总体判断:现有研究集中于大众传播场景,面向古籍整理等专业领域知识服务场景的人工智能失实信息抑制研究几乎空白,本课题恰好填补该交叉空白。</w:t>
      </w:r>
    </w:p>
    <w:p>
      <w:pPr>
        <w:spacing w:line="336" w:lineRule="auto" w:after="160"/>
      </w:pPr>
      <w:r>
        <w:rPr>
          <w:rFonts w:ascii="黑体" w:hAnsi="黑体" w:eastAsia="黑体"/>
          <w:b/>
          <w:color w:val="1F2D50"/>
          <w:sz w:val="28"/>
        </w:rPr>
        <w:t>三、两方向交叉点与课题切入点</w:t>
      </w:r>
    </w:p>
    <w:p>
      <w:pPr>
        <w:spacing w:line="336" w:lineRule="auto" w:after="120"/>
        <w:ind w:firstLine="420"/>
      </w:pPr>
      <w:r>
        <w:rPr>
          <w:rFonts w:ascii="宋体" w:hAnsi="宋体" w:eastAsia="宋体"/>
          <w:b w:val="0"/>
          <w:sz w:val="21"/>
        </w:rPr>
        <w:t>以方向 166 为主场景、方向 165 为核心问题,课题切入点为:面向湖南古籍(里耶秦简)智能整理场景的人工智能失实信息抑制方法研究。具体思路:依托里耶秦简释文数据构建知识库,研究古籍领域问答场景下大模型失实信息的抑制方法(检索增强生成、检索置信度评估、引用校验与拒答机制),并建立量化评估体系(以忠实度指标衡量,使失实率由基线水平显著下降至可接受阈值),为湖南古籍智能化服务平台与里耶秦简数字化建设提供技术支撑。</w:t>
      </w:r>
    </w:p>
    <w:p>
      <w:pPr>
        <w:spacing w:line="336" w:lineRule="auto" w:after="160"/>
      </w:pPr>
      <w:r>
        <w:rPr>
          <w:rFonts w:ascii="黑体" w:hAnsi="黑体" w:eastAsia="黑体"/>
          <w:b/>
          <w:color w:val="1F2D50"/>
          <w:sz w:val="28"/>
        </w:rPr>
        <w:t>四、主要参考文献</w:t>
      </w:r>
    </w:p>
    <w:p>
      <w:pPr>
        <w:spacing w:line="336" w:lineRule="auto" w:after="60"/>
      </w:pPr>
      <w:r>
        <w:rPr>
          <w:rFonts w:ascii="宋体" w:hAnsi="宋体" w:eastAsia="宋体"/>
          <w:b w:val="0"/>
          <w:sz w:val="19"/>
        </w:rPr>
        <w:t>[1] 刘泽垣,王鹏江,宋晓斌,等.大语言模型的幻觉问题研究综述[J].软件学报,2025,36(3):1152-1185.</w:t>
      </w:r>
    </w:p>
    <w:p>
      <w:pPr>
        <w:spacing w:line="336" w:lineRule="auto" w:after="60"/>
      </w:pPr>
      <w:r>
        <w:rPr>
          <w:rFonts w:ascii="宋体" w:hAnsi="宋体" w:eastAsia="宋体"/>
          <w:b w:val="0"/>
          <w:sz w:val="19"/>
        </w:rPr>
        <w:t>[2] 袁乐,刘绍华,王禹,等.大语言模型检索增强生成优化技术研究综述[J].计算机学报,2026,49(2):383-422.</w:t>
      </w:r>
    </w:p>
    <w:p>
      <w:pPr>
        <w:spacing w:line="336" w:lineRule="auto" w:after="60"/>
      </w:pPr>
      <w:r>
        <w:rPr>
          <w:rFonts w:ascii="宋体" w:hAnsi="宋体" w:eastAsia="宋体"/>
          <w:b w:val="0"/>
          <w:sz w:val="19"/>
        </w:rPr>
        <w:t>[3] Asai A, Wu Z Q, Wang Y Z, et al. Self-RAG: Learning to Retrieve, Generate, and Critique through Self-Reflection[C]//ICLR. 2024.</w:t>
      </w:r>
    </w:p>
    <w:p>
      <w:pPr>
        <w:spacing w:line="336" w:lineRule="auto" w:after="60"/>
      </w:pPr>
      <w:r>
        <w:rPr>
          <w:rFonts w:ascii="宋体" w:hAnsi="宋体" w:eastAsia="宋体"/>
          <w:b w:val="0"/>
          <w:sz w:val="19"/>
        </w:rPr>
        <w:t>[4] Yan S Q, Gui J C, Zhu Y T, et al. Corrective Retrieval Augmented Generation[R]. arXiv:2401.15884, 2024.</w:t>
      </w:r>
    </w:p>
    <w:p>
      <w:pPr>
        <w:spacing w:line="336" w:lineRule="auto" w:after="60"/>
      </w:pPr>
      <w:r>
        <w:rPr>
          <w:rFonts w:ascii="宋体" w:hAnsi="宋体" w:eastAsia="宋体"/>
          <w:b w:val="0"/>
          <w:sz w:val="19"/>
        </w:rPr>
        <w:t>[5] Es S, James J, Espinosa-Anke L, et al. RAGAS: Automated Evaluation of Retrieval Augmented Generation[R]. arXiv:2309.15217, 2023.</w:t>
      </w:r>
    </w:p>
    <w:p>
      <w:pPr>
        <w:spacing w:line="336" w:lineRule="auto" w:after="60"/>
      </w:pPr>
      <w:r>
        <w:rPr>
          <w:rFonts w:ascii="宋体" w:hAnsi="宋体" w:eastAsia="宋体"/>
          <w:b w:val="0"/>
          <w:sz w:val="19"/>
        </w:rPr>
        <w:t>[6] 简牍数智化技术进展与展望:里耶秦简的数智化探索[J].吉首大学学报(武陵山片区研究专栏).</w:t>
      </w:r>
    </w:p>
    <w:p>
      <w:pPr>
        <w:spacing w:line="336" w:lineRule="auto" w:after="60"/>
      </w:pPr>
      <w:r>
        <w:rPr>
          <w:rFonts w:ascii="宋体" w:hAnsi="宋体" w:eastAsia="宋体"/>
          <w:b w:val="0"/>
          <w:sz w:val="19"/>
        </w:rPr>
        <w:t>[7] Generative AI and health misinformation: production, propagation, and mitigation—a systematic review[J]. BMC Public Health, 2026, 26.</w:t>
      </w:r>
    </w:p>
    <w:p>
      <w:pPr>
        <w:spacing w:line="336" w:lineRule="auto" w:after="60"/>
      </w:pPr>
      <w:r>
        <w:rPr>
          <w:rFonts w:ascii="宋体" w:hAnsi="宋体" w:eastAsia="宋体"/>
          <w:b w:val="0"/>
          <w:sz w:val="19"/>
        </w:rPr>
        <w:t>[8] Generative AI and misinformation: a scoping review[J]. AI &amp; Society, 2025.</w:t>
      </w:r>
    </w:p>
    <w:p>
      <w:pPr>
        <w:spacing w:line="336" w:lineRule="auto" w:after="60"/>
      </w:pPr>
      <w:r>
        <w:rPr>
          <w:rFonts w:ascii="宋体" w:hAnsi="宋体" w:eastAsia="宋体"/>
          <w:b w:val="0"/>
          <w:sz w:val="19"/>
        </w:rPr>
        <w:t>[9] 全球视野下的中国古籍数智化演进与未来趋势报告[R]. 世界互联网大会(WIC),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