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
        <w:jc w:val="center"/>
      </w:pPr>
      <w:r>
        <w:rPr>
          <w:rFonts w:ascii="Times New Roman" w:eastAsia="黑体"/>
          <w:b/>
          <w:bCs/>
          <w:color w:val="000000"/>
          <w:sz w:val="44"/>
          <w:szCs w:val="44"/>
        </w:rPr>
        <w:t xml:space="preserve">2 相关工作</w:t>
      </w:r>
    </w:p>
    <w:p>
      <w:pPr>
        <w:pStyle w:val="Heading1"/>
        <w:spacing w:after="200" w:before="360"/>
        <w:jc w:val="left"/>
      </w:pPr>
      <w:r>
        <w:rPr>
          <w:rFonts w:ascii="Times New Roman" w:eastAsia="黑体"/>
          <w:b/>
          <w:bCs/>
          <w:color w:val="000000"/>
          <w:sz w:val="32"/>
          <w:szCs w:val="32"/>
        </w:rPr>
        <w:t xml:space="preserve">2.1 古籍数字化与智能整理</w:t>
      </w:r>
    </w:p>
    <w:p>
      <w:pPr>
        <w:pStyle w:val="Body"/>
        <w:jc w:val="both"/>
      </w:pPr>
      <w:r>
        <w:rPr>
          <w:rFonts w:ascii="Times New Roman" w:eastAsia="宋体"/>
          <w:b w:val="false"/>
          <w:bCs w:val="false"/>
          <w:i w:val="false"/>
          <w:iCs w:val="false"/>
          <w:strike w:val="false"/>
          <w:color w:val="000000"/>
          <w:sz w:val="24"/>
          <w:szCs w:val="24"/>
        </w:rPr>
        <w:t xml:space="preserve">我国古籍数字化经历了载体数字化、文本结构化、语义数据化到向量化的演进。古籍OCR技术已从传统图像处理演进至深度学习与多模态大模型方法，但简牍图像存在残损、字迹模糊、异体字多等难题，通用OCR准确率仅70%~80%。湖南省古籍智慧化服务平台于2025年上线，具备AI句读、AI翻译等功能；《湖湘文库》AI版融合大语言模型与知识图谱提供智能服务。在简牍数智化方面，已有研究以里耶秦简为案例，系统梳理了简牍图像增强、字符分割、识别与复原技术的进展，指出当前存在标准缺失、图像质量低等瓶颈（傅倬淞等，简牍数智化技术进展与展望）。</w:t>
      </w:r>
    </w:p>
    <w:p>
      <w:pPr>
        <w:pStyle w:val="Body"/>
        <w:jc w:val="both"/>
      </w:pPr>
      <w:r>
        <w:rPr>
          <w:rFonts w:ascii="Times New Roman" w:eastAsia="宋体"/>
          <w:b w:val="false"/>
          <w:bCs w:val="false"/>
          <w:i w:val="false"/>
          <w:iCs w:val="false"/>
          <w:strike w:val="false"/>
          <w:color w:val="000000"/>
          <w:sz w:val="24"/>
          <w:szCs w:val="24"/>
        </w:rPr>
        <w:t xml:space="preserve">在历史文档分析领域，深度学习方法的广泛应用为古籍OCR与文字识别带来了显著突破。Lombardi和Marinai（Deep Learning for Historical Document Analysis and Recognition）系统综述了深度学习在历史文档分析中的应用，指出卷积神经网络与注意力机制已成为文档图像分析的主流技术路径，且在文字检测、手写识别与版面分析等子任务中展现出远优于传统方法的性能。然而，该综述同时强调，历史文档面临字体风格多样性、纸张老化、墨迹褪色等独特挑战，通用模型在古籍图像上的泛化能力仍然有限。在简牍这一特定载体上，胡毓博（基于深度学习的简牍文字识别与检测方法研究）针对简牍文字检测与识别问题展开了专门研究，探索了深度学习模型对简牍这一特殊文字载体中字形识别的适用性与优化路径。戴欣宇（基于人工智能模型的秦简词性标注研究综述）则从语言学视角切入，综述了人工智能模型在秦简文献词性标注中的应用进展，指出古汉语词性标注面临训练语料匮乏、异体字与通假字识别困难、分词准确率偏低等挑战，为秦简文本的深度语义理解提供了重要参考。</w:t>
      </w:r>
    </w:p>
    <w:p>
      <w:pPr>
        <w:pStyle w:val="Body"/>
        <w:jc w:val="both"/>
      </w:pPr>
      <w:r>
        <w:rPr>
          <w:rFonts w:ascii="Times New Roman" w:eastAsia="宋体"/>
          <w:b w:val="false"/>
          <w:bCs w:val="false"/>
          <w:i w:val="false"/>
          <w:iCs w:val="false"/>
          <w:strike w:val="false"/>
          <w:color w:val="000000"/>
          <w:sz w:val="24"/>
          <w:szCs w:val="24"/>
        </w:rPr>
        <w:t xml:space="preserve">在古籍语义化与知识组织层面，数字人文视角下的文本处理技术为简牍文献的深度利用开辟了新路径。刘铭（数字人文视域下简帛文献的分词研究——以《里耶秦简牍》为例）以里耶秦简牍为对象，探索了简帛文献的分词方法与技术实现路径，揭示了古汉语分词在简牍文本中因缺乏大规模标注语料而面临分词一致性低的问题。留金腾等（上古汉语分词及词性标注语料库的构建——以《淮南子》为范例）以《淮南子》为范例构建了上古汉语分词及词性标注语料库，为古代汉语的分词与词性标准化标注提供了方法论参考，但其研究同时表明，不同历史时期的古汉语文本在语言特征上差异显著，跨时代的迁移应用面临较大困难。陈涛等（智能体技能驱动的古籍知识库构建——以《永乐大典》"儿"字册为例）提出了智能体技能驱动的古籍知识库构建方法，采用LoRA微调与检索增强生成技术对《永乐大典》进行知识库构建，并设计融合大语言模型、RAG与领域技能的智能体架构，实验表明该方法在准确率、幻觉控制与知识呈现等方面具有明显优势。上述研究表明，古籍知识库建设正从单纯的数字化采集向知识结构化与语义化方向演进，但针对简牍——特别是里耶秦简——的知识库构建与智能化服务研究仍处于起步阶段。</w:t>
      </w:r>
    </w:p>
    <w:p>
      <w:pPr>
        <w:pStyle w:val="Heading1"/>
        <w:spacing w:after="200" w:before="360"/>
        <w:jc w:val="left"/>
      </w:pPr>
      <w:r>
        <w:rPr>
          <w:rFonts w:ascii="Times New Roman" w:eastAsia="黑体"/>
          <w:b/>
          <w:bCs/>
          <w:color w:val="000000"/>
          <w:sz w:val="32"/>
          <w:szCs w:val="32"/>
        </w:rPr>
        <w:t xml:space="preserve">2.2 大模型失实信息及其抑制</w:t>
      </w:r>
    </w:p>
    <w:p>
      <w:pPr>
        <w:pStyle w:val="Body"/>
        <w:jc w:val="both"/>
      </w:pPr>
      <w:r>
        <w:rPr>
          <w:rFonts w:ascii="Times New Roman" w:eastAsia="宋体"/>
          <w:b w:val="false"/>
          <w:bCs w:val="false"/>
          <w:i w:val="false"/>
          <w:iCs w:val="false"/>
          <w:strike w:val="false"/>
          <w:color w:val="000000"/>
          <w:sz w:val="24"/>
          <w:szCs w:val="24"/>
        </w:rPr>
        <w:t xml:space="preserve">大模型失实信息（幻觉）指模型生成的内容看似合理但缺乏事实依据。已有综述系统梳理了幻觉的成因、评估与缓解方法，将缓解技术分为训练期干预与推理期干预两类。检索增强生成（RAG）是推理期缓解幻觉的主流技术路线（Lewis等，Retrieval-Augmented Generation for Knowledge-Intensive NLP Tasks）：检索相关资料作为生成依据，将回答约束在外部知识范围内。在此基础上，Self-RAG引入反思令牌实现检索与生成的自评估；校正式检索增强生成（CRAG）提出轻量级检索评估器，将检索结果分级并据此选择生成或纠正策略。</w:t>
      </w:r>
    </w:p>
    <w:p>
      <w:pPr>
        <w:pStyle w:val="Body"/>
        <w:jc w:val="both"/>
      </w:pPr>
      <w:r>
        <w:rPr>
          <w:rFonts w:ascii="Times New Roman" w:eastAsia="宋体"/>
          <w:b w:val="false"/>
          <w:bCs w:val="false"/>
          <w:i w:val="false"/>
          <w:iCs w:val="false"/>
          <w:strike w:val="false"/>
          <w:color w:val="000000"/>
          <w:sz w:val="24"/>
          <w:szCs w:val="24"/>
        </w:rPr>
        <w:t xml:space="preserve">在幻觉评估方面，Malin等（A Review of Faithfulness Metrics for Hallucination Assessment in Large Language Models）对忠实度评估指标进行了系统综述，将评估方法分为N-gram类指标（如ROUGE、BLEU）、嵌入类指标（如BERTScore）、问答生成类、事实抽取类、图基类与LLM评估器六类，并指出LLM评估器在多数场景下与人类判断的相关性最高。该研究同时指出，现有评估基准多集中于摘要生成与开放域问答，面向特定领域（尤其是古籍等非通用领域）的忠实度评估数据集与方法十分匮乏。此外，幻觉问题的分类也逐步细化：赵学东等（KG和RAG协同知识增强的数学古籍领域智能体）将大语言模型在古籍领域中的幻觉进一步区分为事实性幻觉（生成内容与领域事实不符）、忠实性幻觉（上下文关系理解偏差）与逻辑性幻觉（推理过程错误），并指出单一RAG技术主要缓解事实性幻觉，对忠实性与逻辑性幻觉的改善能力有限。</w:t>
      </w:r>
    </w:p>
    <w:p>
      <w:pPr>
        <w:pStyle w:val="Body"/>
        <w:jc w:val="both"/>
      </w:pPr>
      <w:r>
        <w:rPr>
          <w:rFonts w:ascii="Times New Roman" w:eastAsia="宋体"/>
          <w:b w:val="false"/>
          <w:bCs w:val="false"/>
          <w:i w:val="false"/>
          <w:iCs w:val="false"/>
          <w:strike w:val="false"/>
          <w:color w:val="000000"/>
          <w:sz w:val="24"/>
          <w:szCs w:val="24"/>
        </w:rPr>
        <w:t xml:space="preserve">在RAG技术体系方面，王星臣等（检索增强生成的概念、核心技术与面临的挑战）对RAG的核心概念与发展历程进行了全面综述，系统梳理了检索器构建（分块策略、编码方式、索引技术）、检索优化（预检索重写、后检索重排与压缩）以及生成器的训练方式（独立训练、联合训练与Agent微调）等关键技术环节。该综述指出，RAG的未来发展需在检索效率与相关性平衡、多模态融合以及外部知识质量控制等方面持续突破。针对古籍领域的特殊需求，赵学东等提出了领域知识图谱（DKG）与RAG协同知识增强框架CogKAG，通过在RAG流程中融入结构化知识图谱的三元组信息，增强大语言模型对领域语义关联与逻辑推理的把握能力，并以《九章算术》为对象进行验证，实验结果表明该框架可同时缓解事实性、忠实性与逻辑性三类幻觉。该工作为简牍等古籍领域引入知识图谱增强型防幻觉机制提供了有价值的技术参照。</w:t>
      </w:r>
    </w:p>
    <w:p>
      <w:pPr>
        <w:pStyle w:val="Body"/>
        <w:jc w:val="both"/>
      </w:pPr>
      <w:r>
        <w:rPr>
          <w:rFonts w:ascii="Times New Roman" w:eastAsia="宋体"/>
          <w:b w:val="false"/>
          <w:bCs w:val="false"/>
          <w:i w:val="false"/>
          <w:iCs w:val="false"/>
          <w:strike w:val="false"/>
          <w:color w:val="000000"/>
          <w:sz w:val="24"/>
          <w:szCs w:val="24"/>
        </w:rPr>
        <w:t xml:space="preserve">陈涛等（智能体技能驱动的古籍知识库构建）进一步探索了智能体架构在古籍知识服务中的应用，通过融合大语言模型、RAG与领域技能（Agent Skills），实现古籍知识的结构化组织、语义检索与智能问答。该研究表明，相比单一的LoRA微调或RAG方法，智能体驱动的框架在幻觉控制与知识呈现方面更具优势。然而，无论是CogKAG框架还是Agent Skills方案，其验证对象均为结构相对规整的传世文献（如《九章算术》《永乐大典》），对于里耶秦简这类以行政文书为主体、文本高度碎片化、残损严重的出土文献，上述方法的适用性与有效性尚待检验。</w:t>
      </w:r>
    </w:p>
    <w:p>
      <w:pPr>
        <w:pStyle w:val="Heading1"/>
        <w:spacing w:after="200" w:before="360"/>
        <w:jc w:val="left"/>
      </w:pPr>
      <w:r>
        <w:rPr>
          <w:rFonts w:ascii="Times New Roman" w:eastAsia="黑体"/>
          <w:b/>
          <w:bCs/>
          <w:color w:val="000000"/>
          <w:sz w:val="32"/>
          <w:szCs w:val="32"/>
        </w:rPr>
        <w:t xml:space="preserve">2.3 现有工作不足</w:t>
      </w:r>
    </w:p>
    <w:p>
      <w:pPr>
        <w:pStyle w:val="Body"/>
        <w:jc w:val="both"/>
      </w:pPr>
      <w:r>
        <w:rPr>
          <w:rFonts w:ascii="Times New Roman" w:eastAsia="宋体"/>
          <w:b w:val="false"/>
          <w:bCs w:val="false"/>
          <w:i w:val="false"/>
          <w:iCs w:val="false"/>
          <w:strike w:val="false"/>
          <w:color w:val="000000"/>
          <w:sz w:val="24"/>
          <w:szCs w:val="24"/>
        </w:rPr>
        <w:t xml:space="preserve">现有失实信息研究集中于健康、政治等大众传播领域，面向古籍整理等专业领域知识服务场景的失实抑制研究几乎空白；通用RAG方法直接应用于简牍领域时，面临古汉语检索效果差、释文短文本语义稀疏等新问题；此外，已有方法多缺少量化失实率的统一评估协议。本文面向里耶秦简智能整理场景，研究领域适配的失实信息抑制方法。</w:t>
      </w:r>
    </w:p>
    <w:p>
      <w:pPr>
        <w:pStyle w:val="Body"/>
        <w:jc w:val="both"/>
      </w:pPr>
      <w:r>
        <w:rPr>
          <w:rFonts w:ascii="Times New Roman" w:eastAsia="宋体"/>
          <w:b w:val="false"/>
          <w:bCs w:val="false"/>
          <w:i w:val="false"/>
          <w:iCs w:val="false"/>
          <w:strike w:val="false"/>
          <w:color w:val="000000"/>
          <w:sz w:val="24"/>
          <w:szCs w:val="24"/>
        </w:rPr>
        <w:t xml:space="preserve">具体而言，当前研究与实际需求之间的差距集中体现在以下三个方面。其一，古籍数字化技术与智能问答场景之间存在明显断层。如前所述，简牍数智化研究已覆盖图像增强、文字识别与语义分析等技术环节，KG与RAG协同框架已在传世数学古籍上取得成果，但这些技术多聚焦于文献的数字化采集与表层特征提取，尚未延伸至以用户提问为驱动的智能问答与知识服务场景。将简牍释文从"可检索"提升至"可问答"所需的领域适配性研究——尤其是如何使生成内容忠实于简牍原文——几乎无人涉足。其二，简牍文本的特殊性对现有RAG技术栈提出了超出通用领域的挑战。简牍释文以短文本为主（每条释文通常数十至数百字），且包含大量残损符号"□"、异体字、通假字与秦汉时期的职官、地名等低频专名：Vector-based检索在语义稀疏的短文本上召回质量不稳定；BM25关键词检索则因古汉语分词准确率低、大量字词未登录现代分词词表而效果不佳。现有RAG系统的分块策略与检索优化方法多为英文或现代汉语长文本设计，对简牍短文本的古汉语特性缺乏针对性适配。其三，已有评估方案难以直接沿用。通用忠实度评估通常依赖N-gram重叠或向量相似度，而简牍释文的正确回答常仅包含一个简号和一个简短陈述（如"8-135号简记载了某地仓粟出禀的记录"），传统指标对短文本的区分度不足。拒答行为的评估——在简牍场景中至为关键——在通用RAG评测中较少被作为独立维度考虑。</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页，共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宋体"/>
        <w:color w:val="808080"/>
        <w:sz w:val="18"/>
        <w:szCs w:val="18"/>
      </w:rPr>
      <w:t xml:space="preserve">2 相关工作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840" w:hanging="240"/>
      </w:pPr>
    </w:lvl>
    <w:lvl w:ilvl="2" w:tentative="1">
      <w:start w:val="1"/>
      <w:numFmt w:val="bullet"/>
      <w:lvlText w:val="▪"/>
      <w:lvlJc w:val="left"/>
      <w:pPr>
        <w:ind w:left="1200" w:hanging="240"/>
      </w:pPr>
    </w:lvl>
  </w:abstractNum>
  <w:abstractNum w:abstractNumId="3" w15:restartNumberingAfterBreak="0">
    <w:multiLevelType w:val="hybridMultilevel"/>
    <w:lvl w:ilvl="0" w:tentative="1">
      <w:start w:val="1"/>
      <w:numFmt w:val="decimal"/>
      <w:lvlText w:val="%1."/>
      <w:lvlJc w:val="left"/>
      <w:pPr>
        <w:ind w:left="480" w:hanging="300"/>
      </w:pPr>
    </w:lvl>
    <w:lvl w:ilvl="1" w:tentative="1">
      <w:start w:val="1"/>
      <w:numFmt w:val="decimal"/>
      <w:lvlText w:val="%2."/>
      <w:lvlJc w:val="left"/>
      <w:pPr>
        <w:ind w:left="840" w:hanging="300"/>
      </w:pPr>
    </w:lvl>
    <w:lvl w:ilvl="2" w:tentative="1">
      <w:start w:val="1"/>
      <w:numFmt w:val="decimal"/>
      <w:lvlText w:val="%3."/>
      <w:lvlJc w:val="left"/>
      <w:pPr>
        <w:ind w:left="12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00" w:before="240"/>
      <w:jc w:val="center"/>
    </w:pPr>
    <w:rPr>
      <w:rFonts w:ascii="Times New Roman" w:eastAsia="黑体"/>
      <w:b/>
      <w:bCs/>
      <w:color w:val="000000"/>
      <w:sz w:val="44"/>
      <w:szCs w:val="44"/>
    </w:rPr>
  </w:style>
  <w:style w:type="paragraph" w:styleId="Heading1">
    <w:name w:val="Heading 1"/>
    <w:basedOn w:val="Normal"/>
    <w:next w:val="Normal"/>
    <w:qFormat/>
    <w:pPr>
      <w:spacing w:after="200" w:before="360"/>
      <w:jc w:val="left"/>
      <w:outlineLvl w:val="0"/>
    </w:pPr>
    <w:rPr>
      <w:rFonts w:ascii="Times New Roman" w:eastAsia="黑体"/>
      <w:b/>
      <w:bCs/>
      <w:color w:val="000000"/>
      <w:sz w:val="32"/>
      <w:szCs w:val="32"/>
    </w:rPr>
  </w:style>
  <w:style w:type="paragraph" w:styleId="Heading2">
    <w:name w:val="Heading 2"/>
    <w:basedOn w:val="Normal"/>
    <w:next w:val="Normal"/>
    <w:qFormat/>
    <w:pPr>
      <w:spacing w:after="160" w:before="280"/>
      <w:jc w:val="left"/>
      <w:outlineLvl w:val="1"/>
    </w:pPr>
    <w:rPr>
      <w:rFonts w:ascii="Times New Roman" w:eastAsia="黑体"/>
      <w:b/>
      <w:bCs/>
      <w:color w:val="000000"/>
      <w:sz w:val="28"/>
      <w:szCs w:val="28"/>
    </w:rPr>
  </w:style>
  <w:style w:type="paragraph" w:styleId="Heading3">
    <w:name w:val="Heading 3"/>
    <w:basedOn w:val="Normal"/>
    <w:next w:val="Normal"/>
    <w:qFormat/>
    <w:pPr>
      <w:spacing w:after="100" w:before="200"/>
      <w:jc w:val="left"/>
      <w:outlineLvl w:val="2"/>
    </w:pPr>
    <w:rPr>
      <w:rFonts w:ascii="Times New Roman" w:eastAsia="黑体"/>
      <w:b/>
      <w:bCs/>
      <w:color w:val="000000"/>
      <w:sz w:val="24"/>
      <w:szCs w:val="24"/>
    </w:rPr>
  </w:style>
  <w:style w:type="paragraph" w:styleId="Body">
    <w:name w:val="Body"/>
    <w:basedOn w:val="Normal"/>
    <w:pPr>
      <w:spacing w:after="120" w:line="360"/>
      <w:ind w:firstLine="480"/>
      <w:jc w:val="both"/>
    </w:pPr>
    <w:rPr>
      <w:rFonts w:ascii="Times New Roman" w:eastAsia="宋体"/>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2026-10-23T09:40:33.794Z</dcterms:created>
  <dcterms:modified xsi:type="dcterms:W3CDTF">2026-10-23T09:40:33.796Z</dcterms:modified>
</cp:coreProperties>
</file>

<file path=docProps/custom.xml><?xml version="1.0" encoding="utf-8"?>
<Properties xmlns="http://schemas.openxmlformats.org/officeDocument/2006/custom-properties" xmlns:vt="http://schemas.openxmlformats.org/officeDocument/2006/docPropsVTypes"/>
</file>