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77777777" w:rsidR="00882371" w:rsidRDefault="00882371" w:rsidP="00046229">
      <w:pPr>
        <w:pStyle w:val="ListParagraph"/>
        <w:numPr>
          <w:ilvl w:val="1"/>
          <w:numId w:val="1"/>
        </w:numPr>
      </w:pP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177E8584" w14:textId="2ACF1CCF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μ=0.80μm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σ=0.09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Iρ</m:t>
            </m:r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2F38E38F" w14:textId="53BFA043" w:rsidR="00C667C8" w:rsidRDefault="00C667C8" w:rsidP="00630AAA">
      <w:pPr>
        <w:pStyle w:val="ListParagraph"/>
        <w:numPr>
          <w:ilvl w:val="2"/>
          <w:numId w:val="1"/>
        </w:numPr>
      </w:pPr>
    </w:p>
    <w:p w14:paraId="52C1EC38" w14:textId="1261CC98" w:rsidR="0052457C" w:rsidRDefault="0052457C" w:rsidP="0052457C">
      <w:r>
        <w:rPr>
          <w:noProof/>
        </w:rPr>
        <w:drawing>
          <wp:inline distT="0" distB="0" distL="0" distR="0" wp14:anchorId="4CF291E6" wp14:editId="405043E6">
            <wp:extent cx="5029200" cy="377297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d_nod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1C67" w14:textId="273E55BF" w:rsidR="0052457C" w:rsidRDefault="0052457C" w:rsidP="0052457C">
      <w:r>
        <w:rPr>
          <w:noProof/>
        </w:rPr>
        <w:drawing>
          <wp:inline distT="0" distB="0" distL="0" distR="0" wp14:anchorId="1D6C3CEE" wp14:editId="08D9C97F">
            <wp:extent cx="5029200" cy="377297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d_node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6882E" w14:textId="77777777" w:rsidR="0052457C" w:rsidRDefault="0052457C" w:rsidP="00630AAA">
      <w:pPr>
        <w:pStyle w:val="ListParagraph"/>
        <w:numPr>
          <w:ilvl w:val="2"/>
          <w:numId w:val="1"/>
        </w:numPr>
      </w:pPr>
    </w:p>
    <w:p w14:paraId="692E7E6E" w14:textId="77777777" w:rsidR="00630AAA" w:rsidRDefault="00630AAA" w:rsidP="00CC1006">
      <w:pPr>
        <w:pStyle w:val="ListParagraph"/>
        <w:numPr>
          <w:ilvl w:val="1"/>
          <w:numId w:val="1"/>
        </w:numPr>
      </w:pP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proofErr w:type="spellStart"/>
      <w:r>
        <w:t>Electroneurogram</w:t>
      </w:r>
      <w:proofErr w:type="spellEnd"/>
      <w:r>
        <w:t xml:space="preserve">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909D8DE" w14:textId="513F4176" w:rsidR="00240DA8" w:rsidRDefault="00240DA8" w:rsidP="00240DA8">
      <w:pPr>
        <w:pStyle w:val="ListParagraph"/>
        <w:numPr>
          <w:ilvl w:val="1"/>
          <w:numId w:val="1"/>
        </w:numPr>
      </w:pPr>
    </w:p>
    <w:p w14:paraId="003EF777" w14:textId="77777777" w:rsidR="00240DA8" w:rsidRPr="00B13807" w:rsidRDefault="00240DA8" w:rsidP="00240DA8">
      <w:pPr>
        <w:pStyle w:val="ListParagraph"/>
        <w:numPr>
          <w:ilvl w:val="1"/>
          <w:numId w:val="1"/>
        </w:numPr>
      </w:pPr>
    </w:p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52457C" w:rsidRDefault="0052457C" w:rsidP="00D35F0B">
      <w:r>
        <w:separator/>
      </w:r>
    </w:p>
  </w:endnote>
  <w:endnote w:type="continuationSeparator" w:id="0">
    <w:p w14:paraId="1FFEABFB" w14:textId="77777777" w:rsidR="0052457C" w:rsidRDefault="0052457C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52457C" w:rsidRDefault="0052457C" w:rsidP="00D35F0B">
      <w:r>
        <w:separator/>
      </w:r>
    </w:p>
  </w:footnote>
  <w:footnote w:type="continuationSeparator" w:id="0">
    <w:p w14:paraId="421F3C77" w14:textId="77777777" w:rsidR="0052457C" w:rsidRDefault="0052457C" w:rsidP="00D35F0B">
      <w:r>
        <w:continuationSeparator/>
      </w:r>
    </w:p>
  </w:footnote>
  <w:footnote w:id="1">
    <w:p w14:paraId="4FB13318" w14:textId="4499BD96" w:rsidR="0052457C" w:rsidRDefault="005245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35F0B">
        <w:t>Hursh</w:t>
      </w:r>
      <w:proofErr w:type="spellEnd"/>
      <w:r w:rsidRPr="00D35F0B">
        <w:t>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478EF93B" w:rsidR="0052457C" w:rsidRDefault="005245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69FC">
        <w:t xml:space="preserve">Sanchez, R., </w:t>
      </w:r>
      <w:proofErr w:type="spellStart"/>
      <w:r w:rsidRPr="00CD69FC">
        <w:t>Dunkelberger</w:t>
      </w:r>
      <w:proofErr w:type="spellEnd"/>
      <w:r w:rsidRPr="00CD69FC">
        <w:t>, G., &amp; Quigley, H. (1986). The Number and Diameter Distribution of Axons in the Monkey Optic Nerve. </w:t>
      </w:r>
      <w:r w:rsidRPr="00CD69FC">
        <w:rPr>
          <w:i/>
          <w:iCs/>
        </w:rPr>
        <w:t xml:space="preserve">Invest. </w:t>
      </w:r>
      <w:proofErr w:type="spellStart"/>
      <w:r w:rsidRPr="00CD69FC">
        <w:rPr>
          <w:i/>
          <w:iCs/>
        </w:rPr>
        <w:t>Ophthalmol</w:t>
      </w:r>
      <w:proofErr w:type="spellEnd"/>
      <w:r w:rsidRPr="00CD69FC">
        <w:rPr>
          <w:i/>
          <w:iCs/>
        </w:rPr>
        <w:t>. Vis. Sci.,</w:t>
      </w:r>
      <w:r w:rsidRPr="00CD69FC">
        <w:t> </w:t>
      </w:r>
      <w:r w:rsidRPr="00CD69FC">
        <w:rPr>
          <w:i/>
          <w:iCs/>
        </w:rPr>
        <w:t>27</w:t>
      </w:r>
      <w:r w:rsidRPr="00CD69FC">
        <w:t>(9), 1342-1350. Retrieved from http://www.iovs.org/content/27/9/1342.full.pdf 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9217F"/>
    <w:rsid w:val="000C4771"/>
    <w:rsid w:val="00152EB9"/>
    <w:rsid w:val="0015748A"/>
    <w:rsid w:val="00240DA8"/>
    <w:rsid w:val="0026502A"/>
    <w:rsid w:val="00291A63"/>
    <w:rsid w:val="002F42BA"/>
    <w:rsid w:val="003E28A5"/>
    <w:rsid w:val="00473700"/>
    <w:rsid w:val="004807C6"/>
    <w:rsid w:val="004B14E4"/>
    <w:rsid w:val="00522C81"/>
    <w:rsid w:val="0052457C"/>
    <w:rsid w:val="00531EB8"/>
    <w:rsid w:val="00547110"/>
    <w:rsid w:val="00630AAA"/>
    <w:rsid w:val="00657AC0"/>
    <w:rsid w:val="006E4D5C"/>
    <w:rsid w:val="0070719E"/>
    <w:rsid w:val="007D7781"/>
    <w:rsid w:val="00834517"/>
    <w:rsid w:val="00877793"/>
    <w:rsid w:val="00882371"/>
    <w:rsid w:val="009062F0"/>
    <w:rsid w:val="009451BA"/>
    <w:rsid w:val="0099467F"/>
    <w:rsid w:val="009D35B1"/>
    <w:rsid w:val="009E33DF"/>
    <w:rsid w:val="009F329F"/>
    <w:rsid w:val="00B13807"/>
    <w:rsid w:val="00BD5253"/>
    <w:rsid w:val="00C667C8"/>
    <w:rsid w:val="00CC1006"/>
    <w:rsid w:val="00CD00BC"/>
    <w:rsid w:val="00CD69FC"/>
    <w:rsid w:val="00D07766"/>
    <w:rsid w:val="00D13564"/>
    <w:rsid w:val="00D35F0B"/>
    <w:rsid w:val="00E157E6"/>
    <w:rsid w:val="00E43F12"/>
    <w:rsid w:val="00F26013"/>
    <w:rsid w:val="00FA4EE6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316</Words>
  <Characters>1803</Characters>
  <Application>Microsoft Macintosh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40</cp:revision>
  <dcterms:created xsi:type="dcterms:W3CDTF">2014-10-25T20:34:00Z</dcterms:created>
  <dcterms:modified xsi:type="dcterms:W3CDTF">2014-10-30T18:34:00Z</dcterms:modified>
</cp:coreProperties>
</file>