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i_membrane.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r w:rsidR="00885081">
        <w:fldChar w:fldCharType="begin"/>
      </w:r>
      <w:r w:rsidR="00885081">
        <w:instrText xml:space="preserve"> SEQ Figure \* ARABIC </w:instrText>
      </w:r>
      <w:r w:rsidR="00885081">
        <w:fldChar w:fldCharType="separate"/>
      </w:r>
      <w:r w:rsidR="00240DA8">
        <w:rPr>
          <w:noProof/>
        </w:rPr>
        <w:t>1</w:t>
      </w:r>
      <w:r w:rsidR="00885081">
        <w:rPr>
          <w:noProof/>
        </w:rPr>
        <w:fldChar w:fldCharType="end"/>
      </w:r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r w:rsidR="00885081">
        <w:fldChar w:fldCharType="begin"/>
      </w:r>
      <w:r w:rsidR="00885081">
        <w:instrText xml:space="preserve"> SEQ Figure \* ARABIC </w:instrText>
      </w:r>
      <w:r w:rsidR="00885081">
        <w:fldChar w:fldCharType="separate"/>
      </w:r>
      <w:r w:rsidR="00240DA8">
        <w:rPr>
          <w:noProof/>
        </w:rPr>
        <w:t>2</w:t>
      </w:r>
      <w:r w:rsidR="00885081">
        <w:rPr>
          <w:noProof/>
        </w:rPr>
        <w:fldChar w:fldCharType="end"/>
      </w:r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r w:rsidR="00E157E6">
        <w:t>NULLObject that inactivates the NetCon</w:t>
      </w:r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r w:rsidR="00885081">
        <w:fldChar w:fldCharType="begin"/>
      </w:r>
      <w:r w:rsidR="00885081">
        <w:instrText xml:space="preserve"> SEQ Figure \* ARABIC </w:instrText>
      </w:r>
      <w:r w:rsidR="00885081">
        <w:fldChar w:fldCharType="separate"/>
      </w:r>
      <w:r w:rsidR="00240DA8">
        <w:rPr>
          <w:noProof/>
        </w:rPr>
        <w:t>3</w:t>
      </w:r>
      <w:r w:rsidR="00885081">
        <w:rPr>
          <w:noProof/>
        </w:rPr>
        <w:fldChar w:fldCharType="end"/>
      </w:r>
      <w:r>
        <w:t>: Conduction Velocity as a function of Fiber Diameter</w:t>
      </w:r>
    </w:p>
    <w:p w14:paraId="5E56771D" w14:textId="35C35B31" w:rsidR="00882371" w:rsidRDefault="0079147E" w:rsidP="00046229">
      <w:pPr>
        <w:pStyle w:val="ListParagraph"/>
        <w:numPr>
          <w:ilvl w:val="1"/>
          <w:numId w:val="1"/>
        </w:numPr>
      </w:pPr>
      <w:r>
        <w:t xml:space="preserve">A </w:t>
      </w:r>
      <w:r w:rsidR="00B22DF8">
        <w:t>trend line</w:t>
      </w:r>
      <w:r>
        <w:t xml:space="preserve"> of </w:t>
      </w:r>
      <m:oMath>
        <m:r>
          <w:rPr>
            <w:rFonts w:ascii="Cambria Math" w:hAnsi="Cambria Math"/>
          </w:rPr>
          <m:t>y=1.2x+0.008</m:t>
        </m:r>
      </m:oMath>
      <w:r>
        <w:t xml:space="preserve"> was fit to the conduction velocity data. </w:t>
      </w: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r w:rsidR="00885081">
        <w:fldChar w:fldCharType="begin"/>
      </w:r>
      <w:r w:rsidR="00885081">
        <w:instrText xml:space="preserve"> SEQ Figure \* ARABIC </w:instrText>
      </w:r>
      <w:r w:rsidR="00885081">
        <w:fldChar w:fldCharType="separate"/>
      </w:r>
      <w:r w:rsidR="00240DA8">
        <w:rPr>
          <w:noProof/>
        </w:rPr>
        <w:t>4</w:t>
      </w:r>
      <w:r w:rsidR="00885081">
        <w:rPr>
          <w:noProof/>
        </w:rPr>
        <w:fldChar w:fldCharType="end"/>
      </w:r>
      <w:r>
        <w:t>: Histogram of Axon Diameters</w:t>
      </w:r>
    </w:p>
    <w:p w14:paraId="177E8584" w14:textId="58B6D6DB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μ=19.8 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σ=1.75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Iρ</m:t>
            </m:r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1F0210C8" w14:textId="23F6A2BF" w:rsidR="008F056F" w:rsidRDefault="00D8289D" w:rsidP="008F056F">
      <w:pPr>
        <w:pStyle w:val="ListParagraph"/>
        <w:numPr>
          <w:ilvl w:val="2"/>
          <w:numId w:val="1"/>
        </w:numPr>
      </w:pPr>
      <w:r>
        <w:t xml:space="preserve">Placing the recording electrode very close to the axons’ proximal end results in a more prominent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072BC5">
        <w:t xml:space="preserve"> since there will be larger differences between the recorded voltages at the three electrode contacts. Placing the recording electrode further away to the axons’ proximal end results in a smaller net recorded voltage profile since the differences in distance between the electrode contacts is more negligible compared to the </w:t>
      </w:r>
      <w:r w:rsidR="00C63188">
        <w:t>average</w:t>
      </w:r>
      <w:r w:rsidR="00072BC5">
        <w:t xml:space="preserve"> distance fro</w:t>
      </w:r>
      <w:r w:rsidR="00C63188">
        <w:t>m the electrode contacts to</w:t>
      </w:r>
      <w:r w:rsidR="00A6624B">
        <w:t xml:space="preserve"> all</w:t>
      </w:r>
      <w:r w:rsidR="00C63188">
        <w:t xml:space="preserve"> the </w:t>
      </w:r>
      <w:r w:rsidR="00072BC5">
        <w:t xml:space="preserve">nodes. </w:t>
      </w:r>
    </w:p>
    <w:p w14:paraId="47CE4A89" w14:textId="64DC3F47" w:rsidR="008F056F" w:rsidRDefault="00655586" w:rsidP="008F056F">
      <w:r>
        <w:rPr>
          <w:noProof/>
        </w:rPr>
        <w:drawing>
          <wp:inline distT="0" distB="0" distL="0" distR="0" wp14:anchorId="0D4E7361" wp14:editId="4F0CAED3">
            <wp:extent cx="5941950" cy="4457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lhuynh:Git:Duke:BME515:bme515_hw3:bme515_hw3_part3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13BA" w14:textId="6DE096E7" w:rsidR="00D13BBF" w:rsidRDefault="00FE334F" w:rsidP="00D13BBF">
      <w:pPr>
        <w:pStyle w:val="ListParagraph"/>
        <w:numPr>
          <w:ilvl w:val="2"/>
          <w:numId w:val="1"/>
        </w:numPr>
      </w:pPr>
      <w:r>
        <w:t xml:space="preserve">The conduction </w:t>
      </w:r>
      <w:r w:rsidR="005F4F32">
        <w:t>velocities of the ECAPs were</w:t>
      </w:r>
      <w:r>
        <w:t xml:space="preserve"> measured by calculating the time delay </w:t>
      </w:r>
      <w:r w:rsidR="00C14EF0">
        <w:t xml:space="preserve">between the peak </w:t>
      </w:r>
      <w:r w:rsidR="009F1368">
        <w:t>voltages</w:t>
      </w:r>
      <w:r w:rsidR="00C14EF0">
        <w:t xml:space="preserve"> of the ECAP at the two different recording electrode locations. </w:t>
      </w:r>
      <w:r w:rsidR="005C494C">
        <w:t xml:space="preserve">The conduction velocity of the ECAP of fiber population 1 with </w:t>
      </w:r>
      <m:oMath>
        <m:r>
          <w:rPr>
            <w:rFonts w:ascii="Cambria Math" w:hAnsi="Cambria Math"/>
          </w:rPr>
          <m:t>μ=6.5 μm</m:t>
        </m:r>
      </m:oMath>
      <w:r w:rsidR="005C494C">
        <w:t xml:space="preserve"> and </w:t>
      </w:r>
      <m:oMath>
        <m:r>
          <w:rPr>
            <w:rFonts w:ascii="Cambria Math" w:hAnsi="Cambria Math"/>
          </w:rPr>
          <m:t>σ=0.47 μm</m:t>
        </m:r>
      </m:oMath>
      <w:r w:rsidR="005C494C">
        <w:t xml:space="preserve"> was measured to be 8.06 m/s. </w:t>
      </w:r>
      <w:r w:rsidR="009F1368">
        <w:t xml:space="preserve">The conduction velocity of the ECAP of </w:t>
      </w:r>
      <w:r w:rsidR="005D5FBE">
        <w:t xml:space="preserve">fiber population 2 with </w:t>
      </w:r>
      <m:oMath>
        <m:r>
          <w:rPr>
            <w:rFonts w:ascii="Cambria Math" w:hAnsi="Cambria Math"/>
          </w:rPr>
          <m:t>μ=19.8 μm</m:t>
        </m:r>
      </m:oMath>
      <w:r w:rsidR="005D5FBE">
        <w:t xml:space="preserve"> and </w:t>
      </w:r>
      <m:oMath>
        <m:r>
          <w:rPr>
            <w:rFonts w:ascii="Cambria Math" w:hAnsi="Cambria Math"/>
          </w:rPr>
          <m:t>σ=1.75 μm</m:t>
        </m:r>
      </m:oMath>
      <w:r w:rsidR="005D5FBE">
        <w:t xml:space="preserve"> was measured to be 24.3 m/s. </w:t>
      </w:r>
      <w:r w:rsidR="007A7569">
        <w:t xml:space="preserve">Comparatively, using the fitted trend line from part 2C, the expected conduction velocity of the two fiber populations were calculated to be 7.6 m/s and 23.2 m/s, respectively. It is likely that the differences in the expected compared to the calculated conduction velocities is due to the distribution of axon diameters which may have skewed the overall ECAP </w:t>
      </w:r>
      <w:r w:rsidR="0019130C">
        <w:t>conduction</w:t>
      </w:r>
      <w:r w:rsidR="007A7569">
        <w:t xml:space="preserve"> velocity. </w:t>
      </w:r>
    </w:p>
    <w:p w14:paraId="1FEA9AC9" w14:textId="28A463C0" w:rsidR="009A0FDC" w:rsidRDefault="009A0FDC" w:rsidP="00630AAA">
      <w:pPr>
        <w:pStyle w:val="ListParagraph"/>
        <w:numPr>
          <w:ilvl w:val="2"/>
          <w:numId w:val="1"/>
        </w:numPr>
      </w:pPr>
      <w:r>
        <w:t xml:space="preserve">ECAPs were recorded for three different interelectrode spacings </w:t>
      </w:r>
      <m:oMath>
        <m:r>
          <w:rPr>
            <w:rFonts w:ascii="Cambria Math" w:hAnsi="Cambria Math"/>
          </w:rPr>
          <m:t>k=10, 25, 50</m:t>
        </m:r>
      </m:oMath>
      <w:r>
        <w:t xml:space="preserve"> mm. </w:t>
      </w:r>
      <w:r w:rsidR="0076785D">
        <w:t>The net recorded voltages increase for larger interelectrode spacings since</w:t>
      </w:r>
      <w:r w:rsidR="003E0E2E">
        <w:t xml:space="preserve"> </w:t>
      </w:r>
      <w:r w:rsidR="0076785D">
        <w:t xml:space="preserve">the distances between contacts increases thus creating a larger difference of potentials </w:t>
      </w:r>
      <w:r w:rsidR="0086483F">
        <w:t xml:space="preserve">at the electrode contacts. </w:t>
      </w:r>
    </w:p>
    <w:p w14:paraId="5D3CA8DE" w14:textId="513D26C7" w:rsidR="00D13BBF" w:rsidRDefault="006367AC" w:rsidP="00D13BBF">
      <w:r>
        <w:rPr>
          <w:noProof/>
        </w:rPr>
        <w:drawing>
          <wp:inline distT="0" distB="0" distL="0" distR="0" wp14:anchorId="320570B1" wp14:editId="3A29B4B7">
            <wp:extent cx="5943600" cy="4462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E6E" w14:textId="2EBEF928" w:rsidR="00630AAA" w:rsidRDefault="00EB017F" w:rsidP="00CC1006">
      <w:pPr>
        <w:pStyle w:val="ListParagraph"/>
        <w:numPr>
          <w:ilvl w:val="1"/>
          <w:numId w:val="1"/>
        </w:numPr>
      </w:pPr>
      <w:r>
        <w:t xml:space="preserve">Stypulkowski, van den Honert and colleagues at </w:t>
      </w:r>
      <w:r w:rsidR="0049109C">
        <w:t>Biosciences Research Laboratory used compound action potentials of the auditory nerve to characterize refractory behavior in the auditory brainstem.</w:t>
      </w:r>
      <w:r w:rsidR="0006397F">
        <w:t xml:space="preserve"> Cochlear stimulation is dependent on good nerve survival and the wide variation in nerve survival patterns in implant candidates </w:t>
      </w:r>
      <w:r w:rsidR="00E8783C">
        <w:t xml:space="preserve">stresses the </w:t>
      </w:r>
      <w:r w:rsidR="00FC2E01">
        <w:t xml:space="preserve">need for </w:t>
      </w:r>
      <w:r w:rsidR="00353BF0">
        <w:t xml:space="preserve">additional information for implant candidates. </w:t>
      </w:r>
      <w:r w:rsidR="0049109C">
        <w:t xml:space="preserve">The differentiation of this information could potentially allow for future assessment of dendritic degeneration in </w:t>
      </w:r>
      <w:r w:rsidR="003274EC">
        <w:t>cochlear</w:t>
      </w:r>
      <w:r w:rsidR="0049109C">
        <w:t xml:space="preserve"> implant candidates and users. </w:t>
      </w:r>
      <w:r w:rsidR="00EA54DC">
        <w:rPr>
          <w:rStyle w:val="FootnoteReference"/>
        </w:rPr>
        <w:footnoteReference w:id="3"/>
      </w: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r>
        <w:t>Electroneurogram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r w:rsidR="00885081">
        <w:fldChar w:fldCharType="begin"/>
      </w:r>
      <w:r w:rsidR="00885081">
        <w:instrText xml:space="preserve"> SEQ Figure \* ARABIC </w:instrText>
      </w:r>
      <w:r w:rsidR="00885081">
        <w:fldChar w:fldCharType="separate"/>
      </w:r>
      <w:r>
        <w:rPr>
          <w:noProof/>
        </w:rPr>
        <w:t>5</w:t>
      </w:r>
      <w:r w:rsidR="00885081">
        <w:rPr>
          <w:noProof/>
        </w:rPr>
        <w:fldChar w:fldCharType="end"/>
      </w:r>
      <w:r>
        <w:t>: Histogram of Firing Frequencies</w:t>
      </w:r>
    </w:p>
    <w:p w14:paraId="62746F6A" w14:textId="0C155AEC" w:rsidR="000A365C" w:rsidRDefault="003F7F5F" w:rsidP="00240DA8">
      <w:pPr>
        <w:pStyle w:val="ListParagraph"/>
        <w:numPr>
          <w:ilvl w:val="1"/>
          <w:numId w:val="1"/>
        </w:numPr>
      </w:pPr>
      <w:r>
        <w:t xml:space="preserve">The electroneurogram coding algorithm was separated into an initialization and execution portion. </w:t>
      </w:r>
      <w:r w:rsidR="00B54C4C">
        <w:t xml:space="preserve">In the initialization portion, a uniform distribution of frequencies between </w:t>
      </w:r>
      <w:r w:rsidR="006C6BB2">
        <w:t>10-20 Hz,</w:t>
      </w:r>
      <w:r w:rsidR="00E44672">
        <w:t xml:space="preserve"> the curve-fitting parameters for the peak positive current and conduction velocity</w:t>
      </w:r>
      <w:r w:rsidR="006C6BB2">
        <w:t>, and electrode and time parameters</w:t>
      </w:r>
      <w:r w:rsidR="00E44672">
        <w:t xml:space="preserve"> were calculated</w:t>
      </w:r>
      <w:r w:rsidR="00613D42">
        <w:t xml:space="preserve"> or created</w:t>
      </w:r>
      <w:r w:rsidR="006F0918">
        <w:t xml:space="preserve">. </w:t>
      </w:r>
      <w:r w:rsidR="006C6BB2">
        <w:t xml:space="preserve">In the execution portion, </w:t>
      </w:r>
      <w:r w:rsidR="00B1398B">
        <w:t>a fiber diameter and firing frequency was sele</w:t>
      </w:r>
      <w:r w:rsidR="00976D32">
        <w:t xml:space="preserve">cted based on the current axon. </w:t>
      </w:r>
      <w:r w:rsidR="008D3DEA">
        <w:t xml:space="preserve">The data with the closest fiber diameter was scaled and timeshifted based on the fitted conduction velocity and peak positive current. </w:t>
      </w:r>
      <w:r w:rsidR="00684B2A">
        <w:t xml:space="preserve">The action potential portion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684B2A">
        <w:t xml:space="preserve"> was selected and “pasted” in several times into the </w:t>
      </w:r>
      <w:r w:rsidR="00B55E6E">
        <w:t xml:space="preserve">array of transmembrane potentials at all </w:t>
      </w:r>
      <w:r w:rsidR="00504093">
        <w:t xml:space="preserve">nodes for all time to create the effect of frequency firing. </w:t>
      </w:r>
    </w:p>
    <w:p w14:paraId="388EEBB7" w14:textId="1A324795" w:rsidR="000A365C" w:rsidRDefault="005E23E8" w:rsidP="00240DA8">
      <w:pPr>
        <w:pStyle w:val="ListParagraph"/>
        <w:numPr>
          <w:ilvl w:val="1"/>
          <w:numId w:val="1"/>
        </w:numPr>
      </w:pPr>
      <w:r>
        <w:t xml:space="preserve">The primary difference between the two plots is reflective of the differing </w:t>
      </w:r>
      <w:r w:rsidR="00885081">
        <w:t>peak positive current</w:t>
      </w:r>
      <w:r>
        <w:t xml:space="preserve"> of the populations. </w:t>
      </w:r>
      <w:r w:rsidR="00885081">
        <w:t xml:space="preserve">The conduction velocities would be more or less muddled due to the variation from the uniform sampling of firing frequencies. </w:t>
      </w:r>
      <w:bookmarkStart w:id="0" w:name="_GoBack"/>
      <w:bookmarkEnd w:id="0"/>
    </w:p>
    <w:p w14:paraId="6909D8DE" w14:textId="557A351C" w:rsidR="00240DA8" w:rsidRDefault="00A02F56" w:rsidP="000A365C">
      <w:r>
        <w:rPr>
          <w:noProof/>
        </w:rPr>
        <w:drawing>
          <wp:inline distT="0" distB="0" distL="0" distR="0" wp14:anchorId="2952767A" wp14:editId="444CE857">
            <wp:extent cx="5943600" cy="4457700"/>
            <wp:effectExtent l="0" t="0" r="0" b="12700"/>
            <wp:docPr id="18" name="Picture 18" descr="Macintosh HD:Users:blhuynh:Git:Duke:BME515:bme515_hw3:bme515_hw3_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lhuynh:Git:Duke:BME515:bme515_hw3:bme515_hw3_part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49D" w14:textId="77777777" w:rsidR="000A365C" w:rsidRDefault="000A365C" w:rsidP="000A365C"/>
    <w:p w14:paraId="003EF777" w14:textId="77777777" w:rsidR="00240DA8" w:rsidRPr="00B13807" w:rsidRDefault="00240DA8" w:rsidP="000A365C"/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D8121A" w:rsidRDefault="00D8121A" w:rsidP="00D35F0B">
      <w:r>
        <w:separator/>
      </w:r>
    </w:p>
  </w:endnote>
  <w:endnote w:type="continuationSeparator" w:id="0">
    <w:p w14:paraId="1FFEABFB" w14:textId="77777777" w:rsidR="00D8121A" w:rsidRDefault="00D8121A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D8121A" w:rsidRDefault="00D8121A" w:rsidP="00D35F0B">
      <w:r>
        <w:separator/>
      </w:r>
    </w:p>
  </w:footnote>
  <w:footnote w:type="continuationSeparator" w:id="0">
    <w:p w14:paraId="421F3C77" w14:textId="77777777" w:rsidR="00D8121A" w:rsidRDefault="00D8121A" w:rsidP="00D35F0B">
      <w:r>
        <w:continuationSeparator/>
      </w:r>
    </w:p>
  </w:footnote>
  <w:footnote w:id="1">
    <w:p w14:paraId="4FB13318" w14:textId="4499BD96" w:rsidR="00D8121A" w:rsidRDefault="00D812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35F0B">
        <w:t>Hursh,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7114D323" w:rsidR="00D8121A" w:rsidRDefault="00D812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0A73">
        <w:t>Cragg, B., &amp; Thomas, P. (1963). The Conduction Velocity of Regenerated Peripheral Nerve Fibers. </w:t>
      </w:r>
      <w:r w:rsidRPr="00BE0A73">
        <w:rPr>
          <w:i/>
          <w:iCs/>
        </w:rPr>
        <w:t>J. Physiol.,</w:t>
      </w:r>
      <w:r w:rsidRPr="00BE0A73">
        <w:t> </w:t>
      </w:r>
      <w:r w:rsidRPr="00BE0A73">
        <w:rPr>
          <w:i/>
          <w:iCs/>
        </w:rPr>
        <w:t>171</w:t>
      </w:r>
      <w:r w:rsidRPr="00BE0A73">
        <w:t>, 164-175.</w:t>
      </w:r>
      <w:r>
        <w:t xml:space="preserve"> </w:t>
      </w:r>
      <w:r w:rsidRPr="00BE0A73">
        <w:t>http://jp.physoc.org/content/171/1/164.full.pdf</w:t>
      </w:r>
      <w:r>
        <w:t xml:space="preserve">. </w:t>
      </w:r>
    </w:p>
  </w:footnote>
  <w:footnote w:id="3">
    <w:p w14:paraId="5749FA64" w14:textId="77CFE63C" w:rsidR="00D8121A" w:rsidRDefault="00D812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54DC">
        <w:t>Stypulkowski, P., &amp; Van den Honert, C. (1984). Physiological properties of the electrically stimulated auditory nerve. I. Compound action potential recordings. </w:t>
      </w:r>
      <w:r w:rsidRPr="00EA54DC">
        <w:rPr>
          <w:i/>
          <w:iCs/>
        </w:rPr>
        <w:t>Hearing Research,</w:t>
      </w:r>
      <w:r w:rsidRPr="00EA54DC">
        <w:t> </w:t>
      </w:r>
      <w:r w:rsidRPr="00EA54DC">
        <w:rPr>
          <w:i/>
          <w:iCs/>
        </w:rPr>
        <w:t>14</w:t>
      </w:r>
      <w:r w:rsidRPr="00EA54DC">
        <w:t>, 205-223.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6397F"/>
    <w:rsid w:val="00072BC5"/>
    <w:rsid w:val="0009217F"/>
    <w:rsid w:val="000A365C"/>
    <w:rsid w:val="000C4771"/>
    <w:rsid w:val="00140912"/>
    <w:rsid w:val="00152EB9"/>
    <w:rsid w:val="0015748A"/>
    <w:rsid w:val="0019130C"/>
    <w:rsid w:val="00240DA8"/>
    <w:rsid w:val="0026502A"/>
    <w:rsid w:val="00291A63"/>
    <w:rsid w:val="002F42BA"/>
    <w:rsid w:val="003274EC"/>
    <w:rsid w:val="00353BF0"/>
    <w:rsid w:val="003B019E"/>
    <w:rsid w:val="003E0E2E"/>
    <w:rsid w:val="003E28A5"/>
    <w:rsid w:val="003F7F5F"/>
    <w:rsid w:val="00473700"/>
    <w:rsid w:val="004807C6"/>
    <w:rsid w:val="0049109C"/>
    <w:rsid w:val="004B14E4"/>
    <w:rsid w:val="00504093"/>
    <w:rsid w:val="00522C81"/>
    <w:rsid w:val="0052457C"/>
    <w:rsid w:val="00531EB8"/>
    <w:rsid w:val="00547110"/>
    <w:rsid w:val="005C494C"/>
    <w:rsid w:val="005D5FBE"/>
    <w:rsid w:val="005E23E8"/>
    <w:rsid w:val="005F4F32"/>
    <w:rsid w:val="00613D42"/>
    <w:rsid w:val="00630AAA"/>
    <w:rsid w:val="006367AC"/>
    <w:rsid w:val="00655586"/>
    <w:rsid w:val="00657AC0"/>
    <w:rsid w:val="00684B2A"/>
    <w:rsid w:val="006C6BB2"/>
    <w:rsid w:val="006D67E8"/>
    <w:rsid w:val="006E4D5C"/>
    <w:rsid w:val="006F0918"/>
    <w:rsid w:val="0070719E"/>
    <w:rsid w:val="0076785D"/>
    <w:rsid w:val="0079147E"/>
    <w:rsid w:val="007A7569"/>
    <w:rsid w:val="007D7781"/>
    <w:rsid w:val="00834517"/>
    <w:rsid w:val="0086483F"/>
    <w:rsid w:val="00877793"/>
    <w:rsid w:val="00882371"/>
    <w:rsid w:val="00885081"/>
    <w:rsid w:val="008D3DEA"/>
    <w:rsid w:val="008F056F"/>
    <w:rsid w:val="009062F0"/>
    <w:rsid w:val="0094171C"/>
    <w:rsid w:val="009451BA"/>
    <w:rsid w:val="00976D32"/>
    <w:rsid w:val="0099467F"/>
    <w:rsid w:val="009A0FDC"/>
    <w:rsid w:val="009D35B1"/>
    <w:rsid w:val="009E33DF"/>
    <w:rsid w:val="009F1368"/>
    <w:rsid w:val="009F329F"/>
    <w:rsid w:val="00A02F56"/>
    <w:rsid w:val="00A6624B"/>
    <w:rsid w:val="00B13807"/>
    <w:rsid w:val="00B1398B"/>
    <w:rsid w:val="00B22DF8"/>
    <w:rsid w:val="00B54C4C"/>
    <w:rsid w:val="00B55E6E"/>
    <w:rsid w:val="00BD5253"/>
    <w:rsid w:val="00BE0A73"/>
    <w:rsid w:val="00C14EF0"/>
    <w:rsid w:val="00C63188"/>
    <w:rsid w:val="00C667C8"/>
    <w:rsid w:val="00CC1006"/>
    <w:rsid w:val="00CD00BC"/>
    <w:rsid w:val="00CD69FC"/>
    <w:rsid w:val="00D07766"/>
    <w:rsid w:val="00D13564"/>
    <w:rsid w:val="00D13BBF"/>
    <w:rsid w:val="00D35F0B"/>
    <w:rsid w:val="00D8121A"/>
    <w:rsid w:val="00D8289D"/>
    <w:rsid w:val="00D85BA0"/>
    <w:rsid w:val="00DC7344"/>
    <w:rsid w:val="00E157E6"/>
    <w:rsid w:val="00E43F12"/>
    <w:rsid w:val="00E44672"/>
    <w:rsid w:val="00E8783C"/>
    <w:rsid w:val="00EA54DC"/>
    <w:rsid w:val="00EB017F"/>
    <w:rsid w:val="00F26013"/>
    <w:rsid w:val="00FA4EE6"/>
    <w:rsid w:val="00FC2E01"/>
    <w:rsid w:val="00FC4B64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64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9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488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0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291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95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965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800</Words>
  <Characters>4562</Characters>
  <Application>Microsoft Macintosh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90</cp:revision>
  <dcterms:created xsi:type="dcterms:W3CDTF">2014-10-25T20:34:00Z</dcterms:created>
  <dcterms:modified xsi:type="dcterms:W3CDTF">2014-11-06T22:03:00Z</dcterms:modified>
</cp:coreProperties>
</file>