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How we are going to handle data.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“Water Quality”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 ,Turbidity, Temp, Oxygen from 2010 - 2018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yearly data, and we will sum those later 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( it will be collected at google drive folder)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Ex. ) pH_2010_2011.csv. / temp_2011_2012.csv..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3.  We cluster the data by Longitude and Latitude  → we will round up the Longitude and Latitude data to the first decimal,   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4. Find out the standard level of each parameters (pH, temp, turbidity, oxygen)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 xml:space="preserve">ex) Turbidity NTU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Nephelometric Turbidity Units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NTU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 this is Unit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 xml:space="preserve">And   </w:t>
      </w:r>
    </w:p>
    <w:tbl>
      <w:tblPr>
        <w:tblStyle w:val="Table1"/>
        <w:tblW w:w="4470.0" w:type="dxa"/>
        <w:jc w:val="left"/>
        <w:tblInd w:w="1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475"/>
        <w:tblGridChange w:id="0">
          <w:tblGrid>
            <w:gridCol w:w="1995"/>
            <w:gridCol w:w="24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&lt;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Ideally drinkable water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 &lt; 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Drinkable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1519238" cy="105380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053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2714892" cy="18621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892" cy="186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Our Plan.on WQ.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Download WQ data by May 6 Sun.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May 7 -11 / Cluster data of first 2 years ( 2010 - 2012)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May 12-13 / see the clustered data. Do some analysis….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Question to ask TA.)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&gt;&gt;&gt; how to handle the outliers. Like 8 sample pH data of 7~8 and 1 pH data of 10.5 from one location in a month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