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rFonts w:hint="eastAsia"/>
        </w:rPr>
      </w:pPr>
    </w:p>
    <w:p>
      <w:pPr>
        <w:ind w:firstLine="0" w:firstLineChars="0"/>
        <w:jc w:val="center"/>
      </w:pPr>
      <w:r>
        <w:rPr>
          <w:rFonts w:ascii="宋体" w:hAnsi="宋体"/>
          <w:sz w:val="20"/>
        </w:rPr>
        <w:pict>
          <v:shape id="_x0000_s1028" o:spid="_x0000_s1028" o:spt="75" type="#_x0000_t75" style="position:absolute;left:0pt;margin-left:99pt;margin-top:0pt;height:74.65pt;width:236.8pt;mso-wrap-distance-bottom:0pt;mso-wrap-distance-top:0pt;z-index:251661312;mso-width-relative:page;mso-height-relative:page;" o:ole="t" filled="f" o:preferrelative="t" stroked="f" coordsize="21600,21600">
            <v:path/>
            <v:fill on="f" focussize="0,0"/>
            <v:stroke on="f" joinstyle="miter"/>
            <v:imagedata r:id="rId5" grayscale="t" bilevel="t" o:title=""/>
            <o:lock v:ext="edit" aspectratio="t"/>
            <w10:wrap type="topAndBottom"/>
          </v:shape>
          <o:OLEObject Type="Embed" ProgID="Word.Picture.8" ShapeID="_x0000_s1028" DrawAspect="Content" ObjectID="_1468075725" r:id="rId4">
            <o:LockedField>false</o:LockedField>
          </o:OLEObject>
        </w:pict>
      </w:r>
      <w:r>
        <w:rPr>
          <w:rFonts w:hint="eastAsia" w:ascii="宋体" w:hAnsi="宋体"/>
          <w:sz w:val="44"/>
          <w:szCs w:val="44"/>
        </w:rPr>
        <w:t>硕 士 研 究 生 读 书 报 告</w:t>
      </w:r>
    </w:p>
    <w:p>
      <w:pPr>
        <w:ind w:leftChars="-72" w:hanging="173" w:hangingChars="36"/>
        <w:jc w:val="center"/>
        <w:rPr>
          <w:rFonts w:ascii="宋体" w:hAnsi="宋体"/>
          <w:b/>
          <w:sz w:val="48"/>
        </w:rPr>
      </w:pPr>
    </w:p>
    <w:p>
      <w:pPr>
        <w:ind w:left="-58" w:leftChars="-72" w:hanging="115" w:hangingChars="36"/>
        <w:jc w:val="center"/>
        <w:rPr>
          <w:rFonts w:ascii="宋体" w:hAnsi="宋体"/>
          <w:sz w:val="44"/>
        </w:rPr>
      </w:pPr>
      <w:r>
        <w:rPr>
          <w:rFonts w:hint="eastAsia" w:ascii="宋体" w:hAnsi="宋体"/>
          <w:sz w:val="32"/>
        </w:rPr>
        <w:drawing>
          <wp:inline distT="0" distB="0" distL="0" distR="0">
            <wp:extent cx="1066800" cy="1066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66800" cy="1066800"/>
                    </a:xfrm>
                    <a:prstGeom prst="rect">
                      <a:avLst/>
                    </a:prstGeom>
                    <a:noFill/>
                    <a:ln>
                      <a:noFill/>
                    </a:ln>
                  </pic:spPr>
                </pic:pic>
              </a:graphicData>
            </a:graphic>
          </wp:inline>
        </w:drawing>
      </w:r>
    </w:p>
    <w:p>
      <w:pPr>
        <w:ind w:firstLine="880"/>
        <w:jc w:val="center"/>
        <w:rPr>
          <w:rFonts w:ascii="宋体" w:hAnsi="宋体"/>
          <w:sz w:val="44"/>
        </w:rPr>
      </w:pPr>
    </w:p>
    <w:p>
      <w:pPr>
        <w:tabs>
          <w:tab w:val="left" w:pos="1980"/>
        </w:tabs>
        <w:ind w:left="1560" w:leftChars="650" w:firstLine="660"/>
        <w:rPr>
          <w:rFonts w:ascii="仿宋_GB2312" w:hAnsi="宋体"/>
          <w:spacing w:val="5"/>
          <w:kern w:val="0"/>
          <w:sz w:val="32"/>
          <w:szCs w:val="32"/>
        </w:rPr>
      </w:pPr>
      <w:r>
        <w:rPr>
          <w:rFonts w:hint="eastAsia" w:ascii="仿宋_GB2312" w:hAnsi="宋体"/>
          <w:spacing w:val="5"/>
          <w:kern w:val="0"/>
          <w:sz w:val="32"/>
          <w:szCs w:val="32"/>
        </w:rPr>
        <w:t>题目</w:t>
      </w:r>
      <w:r>
        <w:rPr>
          <w:rFonts w:hint="eastAsia" w:ascii="仿宋_GB2312" w:hAnsi="宋体"/>
          <w:spacing w:val="5"/>
          <w:kern w:val="0"/>
          <w:sz w:val="32"/>
          <w:szCs w:val="32"/>
          <w:u w:val="single"/>
        </w:rPr>
        <w:t xml:space="preserve">    </w:t>
      </w:r>
      <w:r>
        <w:rPr>
          <w:rFonts w:hint="eastAsia" w:ascii="仿宋" w:hAnsi="仿宋" w:eastAsia="仿宋"/>
          <w:spacing w:val="5"/>
          <w:kern w:val="0"/>
          <w:sz w:val="32"/>
          <w:szCs w:val="32"/>
          <w:u w:val="single"/>
        </w:rPr>
        <w:t>浅析支付标记化技术</w:t>
      </w:r>
      <w:r>
        <w:rPr>
          <w:rFonts w:hint="eastAsia" w:ascii="仿宋_GB2312" w:hAnsi="宋体"/>
          <w:spacing w:val="5"/>
          <w:kern w:val="0"/>
          <w:sz w:val="32"/>
          <w:szCs w:val="32"/>
          <w:u w:val="single"/>
        </w:rPr>
        <w:t xml:space="preserve">   </w:t>
      </w:r>
    </w:p>
    <w:p>
      <w:pPr>
        <w:tabs>
          <w:tab w:val="left" w:pos="1980"/>
        </w:tabs>
        <w:ind w:firstLine="480"/>
        <w:rPr>
          <w:rFonts w:ascii="宋体" w:hAnsi="宋体"/>
          <w:u w:val="single"/>
        </w:rPr>
      </w:pPr>
    </w:p>
    <w:p>
      <w:pPr>
        <w:tabs>
          <w:tab w:val="left" w:pos="1980"/>
        </w:tabs>
        <w:ind w:left="1680" w:leftChars="700" w:firstLine="580"/>
        <w:rPr>
          <w:rFonts w:ascii="仿宋_GB2312" w:hAnsi="楷体"/>
          <w:sz w:val="28"/>
          <w:szCs w:val="28"/>
          <w:u w:val="single"/>
        </w:rPr>
      </w:pPr>
      <w:r>
        <w:rPr>
          <w:rFonts w:hint="eastAsia" w:ascii="仿宋_GB2312" w:hAnsi="宋体"/>
          <w:spacing w:val="5"/>
          <w:kern w:val="0"/>
          <w:sz w:val="28"/>
          <w:szCs w:val="28"/>
        </w:rPr>
        <w:t>作者姓名</w:t>
      </w:r>
      <w:r>
        <w:rPr>
          <w:rFonts w:hint="eastAsia" w:ascii="仿宋_GB2312" w:hAnsi="宋体"/>
          <w:spacing w:val="5"/>
          <w:kern w:val="0"/>
          <w:sz w:val="30"/>
        </w:rPr>
        <w:t xml:space="preserve"> </w:t>
      </w:r>
      <w:r>
        <w:rPr>
          <w:rFonts w:hint="eastAsia" w:ascii="仿宋_GB2312" w:hAnsi="宋体"/>
          <w:spacing w:val="5"/>
          <w:kern w:val="0"/>
          <w:sz w:val="30"/>
          <w:u w:val="single"/>
        </w:rPr>
        <w:t xml:space="preserve"> </w:t>
      </w:r>
      <w:r>
        <w:rPr>
          <w:rFonts w:hint="eastAsia" w:ascii="仿宋_GB2312" w:hAnsi="宋体"/>
          <w:sz w:val="30"/>
          <w:u w:val="single"/>
        </w:rPr>
        <w:t xml:space="preserve"> </w:t>
      </w:r>
      <w:r>
        <w:rPr>
          <w:rFonts w:hint="eastAsia" w:ascii="仿宋_GB2312" w:hAnsi="楷体"/>
          <w:sz w:val="28"/>
          <w:szCs w:val="28"/>
          <w:u w:val="single"/>
        </w:rPr>
        <w:t xml:space="preserve">   肖梦婷    </w:t>
      </w:r>
      <w:r>
        <w:rPr>
          <w:rFonts w:ascii="仿宋_GB2312" w:hAnsi="楷体"/>
          <w:sz w:val="28"/>
          <w:szCs w:val="28"/>
          <w:u w:val="single"/>
        </w:rPr>
        <w:t xml:space="preserve">   </w:t>
      </w:r>
    </w:p>
    <w:p>
      <w:pPr>
        <w:tabs>
          <w:tab w:val="left" w:pos="1980"/>
        </w:tabs>
        <w:ind w:left="1680" w:leftChars="700" w:firstLine="580"/>
        <w:rPr>
          <w:rFonts w:ascii="仿宋_GB2312" w:hAnsi="楷体"/>
          <w:sz w:val="28"/>
          <w:szCs w:val="28"/>
          <w:u w:val="single"/>
        </w:rPr>
      </w:pPr>
      <w:r>
        <w:rPr>
          <w:rFonts w:hint="eastAsia" w:ascii="仿宋_GB2312" w:hAnsi="宋体"/>
          <w:spacing w:val="5"/>
          <w:kern w:val="0"/>
          <w:sz w:val="28"/>
          <w:szCs w:val="28"/>
        </w:rPr>
        <w:t>作者学号</w:t>
      </w:r>
      <w:r>
        <w:rPr>
          <w:rFonts w:hint="eastAsia" w:ascii="仿宋_GB2312" w:hAnsi="宋体"/>
          <w:sz w:val="30"/>
        </w:rPr>
        <w:t xml:space="preserve"> </w:t>
      </w:r>
      <w:r>
        <w:rPr>
          <w:rFonts w:hint="eastAsia" w:ascii="仿宋_GB2312" w:hAnsi="宋体"/>
          <w:spacing w:val="5"/>
          <w:kern w:val="0"/>
          <w:sz w:val="30"/>
          <w:u w:val="single"/>
        </w:rPr>
        <w:t xml:space="preserve"> </w:t>
      </w:r>
      <w:r>
        <w:rPr>
          <w:rFonts w:hint="eastAsia" w:ascii="仿宋_GB2312" w:hAnsi="宋体"/>
          <w:sz w:val="30"/>
          <w:u w:val="single"/>
        </w:rPr>
        <w:t xml:space="preserve"> </w:t>
      </w:r>
      <w:r>
        <w:rPr>
          <w:rFonts w:hint="eastAsia" w:ascii="仿宋_GB2312" w:hAnsi="楷体"/>
          <w:sz w:val="28"/>
          <w:szCs w:val="28"/>
          <w:u w:val="single"/>
        </w:rPr>
        <w:t xml:space="preserve">   21651161</w:t>
      </w:r>
      <w:r>
        <w:rPr>
          <w:rFonts w:ascii="仿宋_GB2312" w:hAnsi="楷体"/>
          <w:sz w:val="28"/>
          <w:szCs w:val="28"/>
          <w:u w:val="single"/>
        </w:rPr>
        <w:t xml:space="preserve">   </w:t>
      </w:r>
    </w:p>
    <w:p>
      <w:pPr>
        <w:tabs>
          <w:tab w:val="left" w:pos="1980"/>
        </w:tabs>
        <w:ind w:left="1680" w:leftChars="700" w:firstLine="580"/>
        <w:rPr>
          <w:rFonts w:ascii="仿宋_GB2312" w:hAnsi="宋体"/>
          <w:sz w:val="32"/>
          <w:u w:val="single"/>
        </w:rPr>
      </w:pPr>
      <w:r>
        <w:rPr>
          <w:rFonts w:hint="eastAsia" w:ascii="仿宋_GB2312" w:hAnsi="宋体"/>
          <w:spacing w:val="5"/>
          <w:kern w:val="0"/>
          <w:sz w:val="28"/>
          <w:szCs w:val="28"/>
        </w:rPr>
        <w:t xml:space="preserve">指导教师 </w:t>
      </w:r>
      <w:r>
        <w:rPr>
          <w:rFonts w:hint="eastAsia" w:ascii="仿宋_GB2312" w:hAnsi="宋体"/>
          <w:spacing w:val="5"/>
          <w:kern w:val="0"/>
          <w:sz w:val="30"/>
          <w:u w:val="single"/>
        </w:rPr>
        <w:t xml:space="preserve"> </w:t>
      </w:r>
      <w:r>
        <w:rPr>
          <w:rFonts w:hint="eastAsia" w:ascii="仿宋_GB2312" w:hAnsi="宋体"/>
          <w:sz w:val="30"/>
          <w:u w:val="single"/>
        </w:rPr>
        <w:t xml:space="preserve"> </w:t>
      </w:r>
      <w:r>
        <w:rPr>
          <w:rFonts w:hint="eastAsia" w:ascii="仿宋_GB2312" w:hAnsi="楷体"/>
          <w:sz w:val="28"/>
          <w:szCs w:val="28"/>
          <w:u w:val="single"/>
        </w:rPr>
        <w:t xml:space="preserve">   李启雷     </w:t>
      </w:r>
    </w:p>
    <w:p>
      <w:pPr>
        <w:tabs>
          <w:tab w:val="left" w:pos="1980"/>
        </w:tabs>
        <w:ind w:left="1680" w:leftChars="700" w:firstLine="580"/>
        <w:rPr>
          <w:rFonts w:ascii="仿宋_GB2312" w:hAnsi="楷体"/>
          <w:sz w:val="28"/>
          <w:szCs w:val="28"/>
          <w:u w:val="single"/>
        </w:rPr>
      </w:pPr>
      <w:r>
        <w:rPr>
          <w:rFonts w:hint="eastAsia" w:ascii="仿宋_GB2312" w:hAnsi="宋体"/>
          <w:spacing w:val="5"/>
          <w:kern w:val="0"/>
          <w:sz w:val="28"/>
          <w:szCs w:val="28"/>
        </w:rPr>
        <w:t xml:space="preserve">学科专业 </w:t>
      </w:r>
      <w:r>
        <w:rPr>
          <w:rFonts w:hint="eastAsia" w:ascii="仿宋_GB2312" w:hAnsi="宋体"/>
          <w:spacing w:val="5"/>
          <w:kern w:val="0"/>
          <w:sz w:val="30"/>
          <w:u w:val="single"/>
        </w:rPr>
        <w:t xml:space="preserve"> </w:t>
      </w:r>
      <w:r>
        <w:rPr>
          <w:rFonts w:hint="eastAsia" w:ascii="仿宋_GB2312" w:hAnsi="宋体"/>
          <w:sz w:val="30"/>
          <w:u w:val="single"/>
        </w:rPr>
        <w:t xml:space="preserve"> </w:t>
      </w:r>
      <w:r>
        <w:rPr>
          <w:rFonts w:hint="eastAsia" w:ascii="仿宋_GB2312" w:hAnsi="楷体"/>
          <w:sz w:val="28"/>
          <w:szCs w:val="28"/>
          <w:u w:val="single"/>
        </w:rPr>
        <w:t xml:space="preserve">   软件工程   </w:t>
      </w:r>
    </w:p>
    <w:p>
      <w:pPr>
        <w:tabs>
          <w:tab w:val="left" w:pos="1980"/>
        </w:tabs>
        <w:ind w:left="1680" w:leftChars="700" w:firstLine="580"/>
        <w:rPr>
          <w:rFonts w:ascii="仿宋_GB2312" w:hAnsi="楷体"/>
          <w:sz w:val="28"/>
          <w:szCs w:val="28"/>
          <w:u w:val="single"/>
        </w:rPr>
      </w:pPr>
      <w:r>
        <w:rPr>
          <w:rFonts w:hint="eastAsia" w:ascii="仿宋_GB2312" w:hAnsi="宋体"/>
          <w:spacing w:val="5"/>
          <w:kern w:val="0"/>
          <w:sz w:val="28"/>
          <w:szCs w:val="28"/>
        </w:rPr>
        <w:t xml:space="preserve">所在学院 </w:t>
      </w:r>
      <w:r>
        <w:rPr>
          <w:rFonts w:hint="eastAsia" w:ascii="仿宋_GB2312" w:hAnsi="宋体"/>
          <w:spacing w:val="5"/>
          <w:kern w:val="0"/>
          <w:sz w:val="30"/>
          <w:u w:val="single"/>
        </w:rPr>
        <w:t xml:space="preserve"> </w:t>
      </w:r>
      <w:r>
        <w:rPr>
          <w:rFonts w:hint="eastAsia" w:ascii="仿宋_GB2312" w:hAnsi="宋体"/>
          <w:sz w:val="30"/>
          <w:u w:val="single"/>
        </w:rPr>
        <w:t xml:space="preserve"> </w:t>
      </w:r>
      <w:r>
        <w:rPr>
          <w:rFonts w:hint="eastAsia" w:ascii="仿宋_GB2312" w:hAnsi="楷体"/>
          <w:sz w:val="28"/>
          <w:szCs w:val="28"/>
          <w:u w:val="single"/>
        </w:rPr>
        <w:t xml:space="preserve">   软件学院   </w:t>
      </w:r>
    </w:p>
    <w:p>
      <w:pPr>
        <w:tabs>
          <w:tab w:val="left" w:pos="1980"/>
        </w:tabs>
        <w:ind w:left="1680" w:leftChars="700" w:firstLine="580"/>
        <w:rPr>
          <w:rFonts w:ascii="仿宋_GB2312" w:hAnsi="宋体"/>
          <w:spacing w:val="5"/>
          <w:kern w:val="0"/>
          <w:sz w:val="28"/>
          <w:szCs w:val="28"/>
        </w:rPr>
      </w:pPr>
      <w:r>
        <w:rPr>
          <w:rFonts w:hint="eastAsia" w:ascii="仿宋_GB2312" w:hAnsi="宋体"/>
          <w:spacing w:val="5"/>
          <w:kern w:val="0"/>
          <w:sz w:val="28"/>
          <w:szCs w:val="28"/>
        </w:rPr>
        <w:t xml:space="preserve">提交日期 </w:t>
      </w:r>
      <w:r>
        <w:rPr>
          <w:rFonts w:hint="eastAsia" w:ascii="仿宋_GB2312" w:hAnsi="宋体"/>
          <w:spacing w:val="5"/>
          <w:kern w:val="0"/>
          <w:sz w:val="28"/>
          <w:szCs w:val="28"/>
          <w:u w:val="single"/>
        </w:rPr>
        <w:t xml:space="preserve">   二○一七  年 一 月</w:t>
      </w:r>
    </w:p>
    <w:p>
      <w:pPr>
        <w:ind w:firstLine="480"/>
        <w:rPr>
          <w:kern w:val="0"/>
          <w:u w:val="single"/>
        </w:rPr>
      </w:pPr>
    </w:p>
    <w:p>
      <w:pPr>
        <w:widowControl/>
        <w:spacing w:line="240" w:lineRule="auto"/>
        <w:ind w:firstLine="0" w:firstLineChars="0"/>
      </w:pPr>
    </w:p>
    <w:p>
      <w:pPr>
        <w:widowControl/>
        <w:spacing w:line="240" w:lineRule="auto"/>
        <w:ind w:firstLine="0" w:firstLineChars="0"/>
      </w:pPr>
      <w:r>
        <w:br w:type="page"/>
      </w:r>
    </w:p>
    <w:p>
      <w:pPr>
        <w:ind w:firstLine="600"/>
        <w:jc w:val="center"/>
        <w:rPr>
          <w:rFonts w:ascii="Palatino Linotype" w:hAnsi="Palatino Linotype"/>
          <w:sz w:val="30"/>
          <w:szCs w:val="30"/>
        </w:rPr>
      </w:pPr>
      <w:r>
        <w:rPr>
          <w:rFonts w:ascii="Palatino Linotype" w:hAnsi="Palatino Linotype"/>
          <w:sz w:val="30"/>
          <w:szCs w:val="30"/>
        </w:rPr>
        <w:t>Research on Payment Tokenization Technology</w:t>
      </w:r>
    </w:p>
    <w:p>
      <w:pPr>
        <w:ind w:firstLine="480"/>
        <w:jc w:val="center"/>
      </w:pPr>
    </w:p>
    <w:p>
      <w:pPr>
        <w:ind w:firstLine="560"/>
        <w:jc w:val="center"/>
        <w:rPr>
          <w:rFonts w:ascii="Palatino Linotype" w:hAnsi="Palatino Linotype"/>
          <w:sz w:val="28"/>
          <w:szCs w:val="28"/>
        </w:rPr>
      </w:pPr>
      <w:r>
        <w:rPr>
          <w:rFonts w:ascii="Palatino Linotype" w:hAnsi="Palatino Linotype"/>
          <w:sz w:val="28"/>
          <w:szCs w:val="28"/>
        </w:rPr>
        <w:t>A Dissertation Submitted to</w:t>
      </w:r>
    </w:p>
    <w:p>
      <w:pPr>
        <w:ind w:firstLine="560"/>
        <w:jc w:val="center"/>
        <w:rPr>
          <w:rFonts w:ascii="Palatino Linotype" w:hAnsi="Palatino Linotype"/>
          <w:sz w:val="28"/>
          <w:szCs w:val="28"/>
        </w:rPr>
      </w:pPr>
      <w:r>
        <w:rPr>
          <w:rFonts w:ascii="Palatino Linotype" w:hAnsi="Palatino Linotype"/>
          <w:sz w:val="28"/>
          <w:szCs w:val="28"/>
        </w:rPr>
        <w:t>Zhejiang University</w:t>
      </w:r>
    </w:p>
    <w:p>
      <w:pPr>
        <w:ind w:firstLine="560"/>
        <w:jc w:val="center"/>
        <w:rPr>
          <w:rFonts w:ascii="Palatino Linotype" w:hAnsi="Palatino Linotype"/>
          <w:sz w:val="28"/>
          <w:szCs w:val="28"/>
        </w:rPr>
      </w:pPr>
      <w:r>
        <w:rPr>
          <w:rFonts w:ascii="Palatino Linotype" w:hAnsi="Palatino Linotype"/>
          <w:sz w:val="28"/>
          <w:szCs w:val="28"/>
        </w:rPr>
        <w:t>in partial fulfillment of the requirements for</w:t>
      </w:r>
    </w:p>
    <w:p>
      <w:pPr>
        <w:ind w:firstLine="560"/>
        <w:jc w:val="center"/>
        <w:rPr>
          <w:rFonts w:ascii="Palatino Linotype" w:hAnsi="Palatino Linotype"/>
          <w:sz w:val="28"/>
          <w:szCs w:val="28"/>
        </w:rPr>
      </w:pPr>
      <w:r>
        <w:rPr>
          <w:rFonts w:ascii="Palatino Linotype" w:hAnsi="Palatino Linotype"/>
          <w:sz w:val="28"/>
          <w:szCs w:val="28"/>
        </w:rPr>
        <w:t>the degree of</w:t>
      </w:r>
    </w:p>
    <w:p>
      <w:pPr>
        <w:ind w:firstLine="560"/>
        <w:jc w:val="center"/>
        <w:rPr>
          <w:rFonts w:ascii="Palatino Linotype" w:hAnsi="Palatino Linotype"/>
          <w:sz w:val="28"/>
          <w:szCs w:val="28"/>
        </w:rPr>
      </w:pPr>
      <w:r>
        <w:rPr>
          <w:rFonts w:ascii="Palatino Linotype" w:hAnsi="Palatino Linotype"/>
          <w:sz w:val="28"/>
          <w:szCs w:val="28"/>
        </w:rPr>
        <w:t>Master of Engineering</w:t>
      </w:r>
    </w:p>
    <w:p>
      <w:pPr>
        <w:ind w:firstLine="560"/>
        <w:jc w:val="center"/>
        <w:rPr>
          <w:rFonts w:ascii="Palatino Linotype" w:hAnsi="Palatino Linotype"/>
          <w:sz w:val="28"/>
          <w:szCs w:val="28"/>
        </w:rPr>
      </w:pPr>
    </w:p>
    <w:p>
      <w:pPr>
        <w:ind w:firstLine="560"/>
        <w:jc w:val="center"/>
        <w:rPr>
          <w:rFonts w:ascii="Palatino Linotype" w:hAnsi="Palatino Linotype"/>
          <w:sz w:val="28"/>
          <w:szCs w:val="28"/>
        </w:rPr>
      </w:pPr>
    </w:p>
    <w:p>
      <w:pPr>
        <w:ind w:firstLine="560"/>
        <w:jc w:val="center"/>
        <w:rPr>
          <w:rFonts w:ascii="Palatino Linotype" w:hAnsi="Palatino Linotype"/>
          <w:sz w:val="28"/>
          <w:szCs w:val="28"/>
        </w:rPr>
      </w:pPr>
      <w:r>
        <w:rPr>
          <w:rFonts w:ascii="Palatino Linotype" w:hAnsi="Palatino Linotype"/>
          <w:sz w:val="28"/>
          <w:szCs w:val="28"/>
        </w:rPr>
        <w:t>Major Subject: Software Engineering</w:t>
      </w:r>
    </w:p>
    <w:p>
      <w:pPr>
        <w:ind w:firstLine="560"/>
        <w:jc w:val="center"/>
        <w:rPr>
          <w:rFonts w:ascii="Palatino Linotype" w:hAnsi="Palatino Linotype"/>
          <w:sz w:val="28"/>
          <w:szCs w:val="28"/>
        </w:rPr>
      </w:pPr>
      <w:r>
        <w:rPr>
          <w:rFonts w:ascii="Palatino Linotype" w:hAnsi="Palatino Linotype"/>
          <w:sz w:val="28"/>
          <w:szCs w:val="28"/>
        </w:rPr>
        <w:t xml:space="preserve">Advisor:  </w:t>
      </w:r>
      <w:r>
        <w:rPr>
          <w:rFonts w:ascii="Palatino Linotype" w:hAnsi="Palatino Linotype" w:eastAsia="楷体_GB2312"/>
          <w:sz w:val="28"/>
          <w:szCs w:val="28"/>
        </w:rPr>
        <w:t>L</w:t>
      </w:r>
      <w:r>
        <w:rPr>
          <w:rFonts w:hint="eastAsia" w:ascii="Palatino Linotype" w:hAnsi="Palatino Linotype" w:eastAsia="楷体_GB2312"/>
          <w:sz w:val="28"/>
          <w:szCs w:val="28"/>
        </w:rPr>
        <w:t>i Qilei</w:t>
      </w:r>
    </w:p>
    <w:p>
      <w:pPr>
        <w:ind w:firstLine="560"/>
        <w:jc w:val="center"/>
        <w:rPr>
          <w:rFonts w:ascii="Palatino Linotype" w:hAnsi="Palatino Linotype"/>
          <w:sz w:val="28"/>
          <w:szCs w:val="28"/>
        </w:rPr>
      </w:pPr>
    </w:p>
    <w:p>
      <w:pPr>
        <w:ind w:firstLine="560"/>
        <w:jc w:val="center"/>
        <w:rPr>
          <w:rFonts w:ascii="Palatino Linotype" w:hAnsi="Palatino Linotype"/>
          <w:sz w:val="28"/>
          <w:szCs w:val="28"/>
        </w:rPr>
      </w:pPr>
    </w:p>
    <w:p>
      <w:pPr>
        <w:ind w:firstLine="560"/>
        <w:jc w:val="center"/>
        <w:rPr>
          <w:rFonts w:ascii="Palatino Linotype" w:hAnsi="Palatino Linotype"/>
          <w:sz w:val="28"/>
          <w:szCs w:val="28"/>
        </w:rPr>
      </w:pPr>
      <w:r>
        <w:rPr>
          <w:rFonts w:ascii="Palatino Linotype" w:hAnsi="Palatino Linotype"/>
          <w:sz w:val="28"/>
          <w:szCs w:val="28"/>
        </w:rPr>
        <w:t>By</w:t>
      </w:r>
    </w:p>
    <w:p>
      <w:pPr>
        <w:ind w:firstLine="560"/>
        <w:jc w:val="center"/>
        <w:rPr>
          <w:rFonts w:ascii="Palatino Linotype" w:hAnsi="Palatino Linotype" w:eastAsia="黑体"/>
          <w:sz w:val="28"/>
          <w:szCs w:val="28"/>
        </w:rPr>
      </w:pPr>
      <w:r>
        <w:rPr>
          <w:rFonts w:ascii="Palatino Linotype" w:hAnsi="Palatino Linotype"/>
          <w:sz w:val="28"/>
          <w:szCs w:val="28"/>
        </w:rPr>
        <w:t>Xiao Mengting</w:t>
      </w:r>
    </w:p>
    <w:p>
      <w:pPr>
        <w:ind w:firstLine="560"/>
        <w:jc w:val="center"/>
        <w:rPr>
          <w:rFonts w:ascii="Palatino Linotype" w:hAnsi="Palatino Linotype"/>
          <w:sz w:val="28"/>
          <w:szCs w:val="28"/>
        </w:rPr>
      </w:pPr>
      <w:r>
        <w:rPr>
          <w:rFonts w:ascii="Palatino Linotype" w:hAnsi="Palatino Linotype"/>
          <w:sz w:val="28"/>
          <w:szCs w:val="28"/>
        </w:rPr>
        <w:t>Zhejiang University, P.R. China</w:t>
      </w:r>
    </w:p>
    <w:p>
      <w:pPr>
        <w:ind w:firstLine="560"/>
        <w:jc w:val="center"/>
        <w:rPr>
          <w:rFonts w:ascii="Palatino Linotype" w:hAnsi="Palatino Linotype"/>
          <w:sz w:val="28"/>
          <w:szCs w:val="28"/>
        </w:rPr>
      </w:pPr>
      <w:r>
        <w:rPr>
          <w:rFonts w:ascii="Palatino Linotype" w:hAnsi="Palatino Linotype"/>
          <w:sz w:val="28"/>
          <w:szCs w:val="28"/>
        </w:rPr>
        <w:t>2017</w:t>
      </w:r>
    </w:p>
    <w:p>
      <w:pPr>
        <w:ind w:firstLine="480"/>
        <w:jc w:val="center"/>
      </w:pPr>
    </w:p>
    <w:p>
      <w:pPr>
        <w:pStyle w:val="8"/>
        <w:ind w:firstLine="640"/>
        <w:jc w:val="center"/>
      </w:pPr>
      <w:bookmarkStart w:id="0" w:name="_Toc94705485"/>
      <w:bookmarkStart w:id="1" w:name="_Toc8028251"/>
      <w:r>
        <w:rPr>
          <w:rFonts w:hint="eastAsia"/>
        </w:rPr>
        <w:t>摘要</w:t>
      </w:r>
      <w:bookmarkEnd w:id="0"/>
      <w:bookmarkEnd w:id="1"/>
    </w:p>
    <w:p>
      <w:pPr>
        <w:ind w:firstLine="480"/>
      </w:pPr>
      <w:r>
        <w:rPr>
          <w:rFonts w:hint="eastAsia"/>
        </w:rPr>
        <w:t>随着</w:t>
      </w:r>
      <w:r>
        <w:t>移动互联</w:t>
      </w:r>
      <w:r>
        <w:rPr>
          <w:rFonts w:hint="eastAsia"/>
        </w:rPr>
        <w:t>和</w:t>
      </w:r>
      <w:r>
        <w:t>大数据等技术的</w:t>
      </w:r>
      <w:r>
        <w:rPr>
          <w:rFonts w:hint="eastAsia"/>
        </w:rPr>
        <w:t>兴起与</w:t>
      </w:r>
      <w:r>
        <w:t>发展，支付行业</w:t>
      </w:r>
      <w:r>
        <w:rPr>
          <w:rFonts w:hint="eastAsia"/>
        </w:rPr>
        <w:t>面临着</w:t>
      </w:r>
      <w:r>
        <w:t>全新的机遇和挑战。</w:t>
      </w:r>
      <w:r>
        <w:rPr>
          <w:rFonts w:hint="eastAsia"/>
        </w:rPr>
        <w:t>支付的快捷方便对用户来说是不可降低的可用性标准，可是用户的敏感信息的安全性亦是需要保证的。目前，支付产业的各方参与者通过多种手段对交易中存在的欺诈行为提供了保护，如卡片伪造和账户滥用等。有卡交易的形式中，</w:t>
      </w:r>
      <w:r>
        <w:t>银联芯片卡规范在一定程</w:t>
      </w:r>
      <w:r>
        <w:rPr>
          <w:rFonts w:hint="eastAsia"/>
        </w:rPr>
        <w:t>度上确保了安全。但无卡交易逐渐普及，那么该如何对其进行支付安全保护，最大程度地减少用户账户数据被非法使用，并防止跨渠道的交易欺诈行为呢？支付标记化技术与系统有望解决这些问题。支付标记可以运用在银行卡交易的各个环节，并且适用于线上线下多种交易场景。</w:t>
      </w:r>
      <w:r>
        <w:t xml:space="preserve"> </w:t>
      </w:r>
    </w:p>
    <w:p>
      <w:pPr>
        <w:pStyle w:val="4"/>
        <w:ind w:firstLine="240"/>
      </w:pPr>
    </w:p>
    <w:p>
      <w:pPr>
        <w:pStyle w:val="4"/>
        <w:ind w:firstLine="241"/>
      </w:pPr>
      <w:r>
        <w:rPr>
          <w:rFonts w:hint="eastAsia" w:hAnsi="黑体"/>
          <w:b/>
        </w:rPr>
        <w:t>关键词</w:t>
      </w:r>
      <w:r>
        <w:rPr>
          <w:rFonts w:hint="eastAsia"/>
        </w:rPr>
        <w:t>：移动互联，支付安全，支付标记化</w:t>
      </w:r>
    </w:p>
    <w:p>
      <w:pPr>
        <w:pStyle w:val="4"/>
        <w:ind w:firstLine="240"/>
      </w:pPr>
    </w:p>
    <w:p>
      <w:pPr>
        <w:pStyle w:val="8"/>
        <w:ind w:firstLine="640"/>
        <w:jc w:val="center"/>
        <w:rPr>
          <w:rFonts w:ascii="仿宋" w:hAnsi="仿宋"/>
        </w:rPr>
      </w:pPr>
      <w:bookmarkStart w:id="2" w:name="_Toc8028252"/>
      <w:bookmarkStart w:id="3" w:name="_Toc94705486"/>
      <w:r>
        <w:rPr>
          <w:rFonts w:ascii="仿宋" w:hAnsi="仿宋"/>
        </w:rPr>
        <w:t>Abstract</w:t>
      </w:r>
      <w:bookmarkEnd w:id="2"/>
      <w:bookmarkEnd w:id="3"/>
    </w:p>
    <w:p>
      <w:pPr>
        <w:ind w:firstLine="480"/>
        <w:rPr>
          <w:rFonts w:ascii="仿宋" w:hAnsi="仿宋" w:eastAsia="仿宋"/>
          <w:szCs w:val="20"/>
        </w:rPr>
      </w:pPr>
      <w:r>
        <w:rPr>
          <w:rFonts w:ascii="仿宋" w:hAnsi="仿宋" w:eastAsia="仿宋"/>
          <w:szCs w:val="20"/>
        </w:rPr>
        <w:t>With the development of mobile Internet and big data technology, the payment industry is facing new opportunities and challenges.</w:t>
      </w:r>
      <w:r>
        <w:rPr>
          <w:rFonts w:ascii="仿宋" w:hAnsi="仿宋" w:eastAsia="仿宋"/>
        </w:rPr>
        <w:t xml:space="preserve"> </w:t>
      </w:r>
      <w:r>
        <w:rPr>
          <w:rFonts w:ascii="仿宋" w:hAnsi="仿宋" w:eastAsia="仿宋"/>
          <w:szCs w:val="20"/>
        </w:rPr>
        <w:t xml:space="preserve">Fast and convenient payment for users is not to reduce the availability of standards, but the user's sensitive information security is also required to ensure that. At present, the participants in the payment industry through a variety of means to protect the existence of fraud in the transaction, such as card forgery and account abuse, etc.. In the form of card transactions, UnionPay chip card specification to a certain extent to ensure the safety. But </w:t>
      </w:r>
      <w:r>
        <w:rPr>
          <w:rFonts w:hint="eastAsia" w:ascii="仿宋" w:hAnsi="仿宋" w:eastAsia="仿宋"/>
          <w:szCs w:val="20"/>
        </w:rPr>
        <w:t xml:space="preserve">with </w:t>
      </w:r>
      <w:r>
        <w:rPr>
          <w:rFonts w:ascii="仿宋" w:hAnsi="仿宋" w:eastAsia="仿宋"/>
          <w:szCs w:val="20"/>
        </w:rPr>
        <w:t xml:space="preserve">the gradual spread of non card transactions, then how to pay for their security protection, to minimize the user account data is illegal use, and to prevent cross channel fraud? Payment </w:t>
      </w:r>
      <w:r>
        <w:rPr>
          <w:rFonts w:hint="eastAsia" w:ascii="仿宋" w:hAnsi="仿宋" w:eastAsia="仿宋"/>
          <w:szCs w:val="20"/>
        </w:rPr>
        <w:t>Tokenization</w:t>
      </w:r>
      <w:r>
        <w:rPr>
          <w:rFonts w:ascii="仿宋" w:hAnsi="仿宋" w:eastAsia="仿宋"/>
          <w:szCs w:val="20"/>
        </w:rPr>
        <w:t xml:space="preserve"> technology and system</w:t>
      </w:r>
      <w:r>
        <w:rPr>
          <w:rFonts w:hint="eastAsia" w:ascii="仿宋" w:hAnsi="仿宋" w:eastAsia="仿宋"/>
          <w:szCs w:val="20"/>
        </w:rPr>
        <w:t>s</w:t>
      </w:r>
      <w:r>
        <w:rPr>
          <w:rFonts w:ascii="仿宋" w:hAnsi="仿宋" w:eastAsia="仿宋"/>
          <w:szCs w:val="20"/>
        </w:rPr>
        <w:t xml:space="preserve"> is expected to solve these problems. Payment </w:t>
      </w:r>
      <w:r>
        <w:rPr>
          <w:rFonts w:hint="eastAsia" w:ascii="仿宋" w:hAnsi="仿宋" w:eastAsia="仿宋"/>
          <w:szCs w:val="20"/>
        </w:rPr>
        <w:t>Tokenization</w:t>
      </w:r>
      <w:r>
        <w:rPr>
          <w:rFonts w:ascii="仿宋" w:hAnsi="仿宋" w:eastAsia="仿宋"/>
          <w:szCs w:val="20"/>
        </w:rPr>
        <w:t xml:space="preserve"> can be used in all aspects of bank card transactions, and applies to a variety of online and offline trading scenarios.</w:t>
      </w:r>
    </w:p>
    <w:p>
      <w:pPr>
        <w:pStyle w:val="4"/>
        <w:ind w:firstLine="241"/>
        <w:rPr>
          <w:rFonts w:ascii="仿宋" w:hAnsi="仿宋" w:eastAsia="仿宋"/>
        </w:rPr>
      </w:pPr>
      <w:r>
        <w:rPr>
          <w:rFonts w:ascii="仿宋" w:hAnsi="仿宋" w:eastAsia="仿宋"/>
          <w:b/>
        </w:rPr>
        <w:t>Keywords：</w:t>
      </w:r>
      <w:r>
        <w:rPr>
          <w:rFonts w:hint="eastAsia" w:ascii="仿宋" w:hAnsi="仿宋" w:eastAsia="仿宋"/>
        </w:rPr>
        <w:t>m</w:t>
      </w:r>
      <w:r>
        <w:rPr>
          <w:rFonts w:ascii="仿宋" w:hAnsi="仿宋" w:eastAsia="仿宋"/>
        </w:rPr>
        <w:t xml:space="preserve">obile Internet, </w:t>
      </w:r>
      <w:r>
        <w:rPr>
          <w:rFonts w:hint="eastAsia" w:ascii="仿宋" w:hAnsi="仿宋" w:eastAsia="仿宋"/>
        </w:rPr>
        <w:t>p</w:t>
      </w:r>
      <w:r>
        <w:rPr>
          <w:rFonts w:ascii="仿宋" w:hAnsi="仿宋" w:eastAsia="仿宋"/>
        </w:rPr>
        <w:t xml:space="preserve">ayment security, </w:t>
      </w:r>
      <w:r>
        <w:rPr>
          <w:rFonts w:ascii="仿宋" w:hAnsi="仿宋" w:eastAsia="仿宋"/>
          <w:szCs w:val="20"/>
        </w:rPr>
        <w:t xml:space="preserve">Payment </w:t>
      </w:r>
      <w:r>
        <w:rPr>
          <w:rFonts w:hint="eastAsia" w:ascii="仿宋" w:hAnsi="仿宋" w:eastAsia="仿宋"/>
          <w:szCs w:val="20"/>
        </w:rPr>
        <w:t>Tokenization</w:t>
      </w:r>
    </w:p>
    <w:p>
      <w:pPr>
        <w:pStyle w:val="4"/>
        <w:ind w:firstLine="240"/>
      </w:pPr>
    </w:p>
    <w:p>
      <w:pPr>
        <w:pStyle w:val="8"/>
        <w:rPr>
          <w:rFonts w:ascii="仿宋" w:hAnsi="仿宋"/>
        </w:rPr>
      </w:pPr>
      <w:bookmarkStart w:id="4" w:name="_Toc94705527"/>
      <w:r>
        <w:rPr>
          <w:rFonts w:ascii="仿宋" w:hAnsi="仿宋"/>
        </w:rPr>
        <w:t>1</w:t>
      </w:r>
      <w:r>
        <w:rPr>
          <w:rFonts w:hint="eastAsia" w:ascii="仿宋" w:hAnsi="仿宋"/>
        </w:rPr>
        <w:t>背景</w:t>
      </w:r>
    </w:p>
    <w:p>
      <w:pPr>
        <w:ind w:firstLine="480"/>
      </w:pPr>
      <w:r>
        <w:t>中国银行业协会于7月28日发布《中国银行卡产业发展蓝皮书(2016)》，称截至2015年底，中国银行卡累计发卡量达56.1亿张，人均持卡数为4.09张，2015年全国的银行卡交易金额为1420.8万亿元人民币。</w:t>
      </w:r>
    </w:p>
    <w:p>
      <w:pPr>
        <w:ind w:firstLine="480"/>
      </w:pPr>
      <w:r>
        <w:t>报告同时指出</w:t>
      </w:r>
      <w:r>
        <w:rPr>
          <w:rFonts w:hint="eastAsia"/>
        </w:rPr>
        <w:t>，</w:t>
      </w:r>
      <w:r>
        <w:t>随着互联网行业的快速发展，</w:t>
      </w:r>
      <w:r>
        <w:rPr>
          <w:rFonts w:hint="eastAsia"/>
        </w:rPr>
        <w:t>银行卡</w:t>
      </w:r>
      <w:r>
        <w:t>欺诈风险逐渐向线上交易转移。在以往的线下交易中，银行卡被复制盗刷是高发案件，而在线上交易中，尽管不存在银行卡被复制盗刷的风险，但是交易仍需提供卡号和有效期，很容易给欺诈团体带来可乘之机</w:t>
      </w:r>
      <w:r>
        <w:rPr>
          <w:rFonts w:ascii="MS Mincho" w:hAnsi="MS Mincho" w:eastAsia="MS Mincho" w:cs="MS Mincho"/>
        </w:rPr>
        <w:t>。</w:t>
      </w:r>
    </w:p>
    <w:p>
      <w:pPr>
        <w:ind w:firstLine="480"/>
        <w:rPr>
          <w:rFonts w:eastAsiaTheme="minorEastAsia"/>
          <w:kern w:val="0"/>
        </w:rPr>
      </w:pPr>
      <w:r>
        <w:t>除此之外，移动支付的兴起带来了新的支付技术和模式，尤其是第三方快捷支付，在给人们提供便利的同时，也给风险管控带来了新的挑战。据悉，目前市场上一些第三方支付机构在完成授权时，只需提供银行卡号和预留手机号码就可以办理，犯罪分子可以通过骗取验证码或者挂失手机号等方式获得支付授权，把钱转走。</w:t>
      </w:r>
    </w:p>
    <w:p>
      <w:pPr>
        <w:ind w:firstLine="480"/>
      </w:pPr>
      <w:r>
        <w:t>今年以来，监管层加紧了对支付业务的监管。央行7月初下发了《中国人民银行关于进一步加强银行卡风险管理的通知》，要求各商业银行、第三方支付公司在今年底要使用支付标记化技术进行交易数据处理。支付标记化技术是由国际芯片卡标准化组织EMVCo于2014年正式发布的一项最新技术，原理在于使用唯一的一个支付标记（与主卡号保持一致，一般由</w:t>
      </w:r>
      <w:r>
        <w:rPr>
          <w:rFonts w:eastAsia="Times New Roman"/>
        </w:rPr>
        <w:t>13</w:t>
      </w:r>
      <w:r>
        <w:t>至</w:t>
      </w:r>
      <w:r>
        <w:rPr>
          <w:rFonts w:eastAsia="Times New Roman"/>
        </w:rPr>
        <w:t>19</w:t>
      </w:r>
      <w:r>
        <w:t>位的数字组成）来替代银行主账号进行交易验证，从而避免卡号信息泄露带来的风险。</w:t>
      </w:r>
      <w:r>
        <w:rPr>
          <w:rFonts w:hint="eastAsia"/>
        </w:rPr>
        <w:t>支付标记化具有以下显著特征：降低敏感信息泄露可能性，具备兼容性和互操作性，促进行业创新的发展。</w:t>
      </w:r>
    </w:p>
    <w:p>
      <w:pPr>
        <w:ind w:firstLine="480"/>
      </w:pPr>
      <w:r>
        <w:t>与传统基于卡号的交易传递过程相比，支付标记化方案替代了原始卡号和有效期，根本上杜绝了敏感信息泄露的可能。同时，通过域控属性限定交易场景（如交易类型、使用次数、交易金额、有效期、支付渠道、商</w:t>
      </w:r>
      <w:r>
        <w:rPr>
          <w:rFonts w:ascii="宋体" w:hAnsi="宋体" w:eastAsia="宋体" w:cs="宋体"/>
        </w:rPr>
        <w:t>户</w:t>
      </w:r>
      <w:r>
        <w:t>名称等），既便支付标记本身被泄露，其影响范围也大大降低。此外，收单机构还可以借助支付标记的担保级别实现对交易风险的控制，进一步降低风险。</w:t>
      </w:r>
    </w:p>
    <w:p>
      <w:pPr>
        <w:ind w:firstLine="480"/>
        <w:rPr>
          <w:rFonts w:eastAsiaTheme="minorEastAsia"/>
          <w:kern w:val="0"/>
        </w:rPr>
      </w:pPr>
      <w:r>
        <w:t>支付标记化技术作为全球支付领域的最新</w:t>
      </w:r>
      <w:r>
        <w:fldChar w:fldCharType="begin"/>
      </w:r>
      <w:r>
        <w:instrText xml:space="preserve"> HYPERLINK "http://wiki.mbalib.com/wiki/%E5%89%8D%E6%B2%BF%E6%8A%80%E6%9C%AF" \o "前沿技术" </w:instrText>
      </w:r>
      <w:r>
        <w:fldChar w:fldCharType="separate"/>
      </w:r>
      <w:r>
        <w:t>前沿技术</w:t>
      </w:r>
      <w:r>
        <w:fldChar w:fldCharType="end"/>
      </w:r>
      <w:r>
        <w:t xml:space="preserve">，其优势体现在三个方面： </w:t>
      </w:r>
    </w:p>
    <w:p>
      <w:pPr>
        <w:ind w:firstLine="480"/>
      </w:pPr>
      <w:r>
        <w:t xml:space="preserve">第一，敏感信息无需留存，持卡人卡号与卡片有效期在交易中不出现; </w:t>
      </w:r>
    </w:p>
    <w:p>
      <w:pPr>
        <w:ind w:firstLine="480"/>
      </w:pPr>
      <w:r>
        <w:t xml:space="preserve">第二，支付标记仅可在限定交易场景使用，使得支付更安全; </w:t>
      </w:r>
    </w:p>
    <w:p>
      <w:pPr>
        <w:ind w:firstLine="480"/>
      </w:pPr>
      <w:r>
        <w:t>第三，支付标记灵活性更高，与传统银行卡验证功能相比较,支付标记综合了个人身份与设备信息验证、支付信息附加验证、风险等级评估等功能进行交易合法性识别和风险管控。因此，支付标记化不仅可防范</w:t>
      </w:r>
      <w:r>
        <w:fldChar w:fldCharType="begin"/>
      </w:r>
      <w:r>
        <w:instrText xml:space="preserve"> HYPERLINK "http://wiki.mbalib.com/wiki/%E4%BA%A4%E6%98%93" \o "交易" </w:instrText>
      </w:r>
      <w:r>
        <w:fldChar w:fldCharType="separate"/>
      </w:r>
      <w:r>
        <w:t>交易</w:t>
      </w:r>
      <w:r>
        <w:fldChar w:fldCharType="end"/>
      </w:r>
      <w:r>
        <w:t>各环节的持卡人敏感信息泄露，同时也降低了欺诈交易的发生</w:t>
      </w:r>
      <w:r>
        <w:fldChar w:fldCharType="begin"/>
      </w:r>
      <w:r>
        <w:instrText xml:space="preserve"> HYPERLINK "http://wiki.mbalib.com/wiki/%E6%A6%82%E7%8E%87" \o "概率" </w:instrText>
      </w:r>
      <w:r>
        <w:fldChar w:fldCharType="separate"/>
      </w:r>
      <w:r>
        <w:t>概率</w:t>
      </w:r>
      <w:r>
        <w:fldChar w:fldCharType="end"/>
      </w:r>
      <w:r>
        <w:t xml:space="preserve">。 </w:t>
      </w:r>
    </w:p>
    <w:p>
      <w:pPr>
        <w:pStyle w:val="8"/>
        <w:rPr>
          <w:rFonts w:ascii="仿宋" w:hAnsi="仿宋"/>
        </w:rPr>
      </w:pPr>
      <w:r>
        <w:rPr>
          <w:rFonts w:ascii="仿宋" w:hAnsi="仿宋"/>
        </w:rPr>
        <w:t>2</w:t>
      </w:r>
      <w:r>
        <w:rPr>
          <w:rFonts w:hint="eastAsia" w:ascii="仿宋" w:hAnsi="仿宋"/>
        </w:rPr>
        <w:t>简介</w:t>
      </w:r>
    </w:p>
    <w:p>
      <w:pPr>
        <w:pStyle w:val="20"/>
        <w:ind w:left="240" w:right="240"/>
        <w:rPr>
          <w:rFonts w:eastAsia="Times New Roman"/>
        </w:rPr>
      </w:pPr>
      <w:r>
        <w:t>早在2013年，中国银联就启动了支付标记化(Payment Tokenization)技术研究和产品实施工作，完成了支付标记化系统的框架设计规划、系统开发与测试、产品试点应用以及产业影响性分析等多方面的工作。并同步完成了配套的技术实施指引的编制，旨在为商户、收单机构、发卡行等产业相关方在应用支付标记技术时提供指导性的建议和参考。</w:t>
      </w:r>
    </w:p>
    <w:p>
      <w:pPr>
        <w:pStyle w:val="3"/>
        <w:rPr>
          <w:rFonts w:ascii="仿宋" w:hAnsi="仿宋" w:eastAsia="仿宋"/>
          <w:sz w:val="30"/>
          <w:szCs w:val="30"/>
        </w:rPr>
      </w:pPr>
      <w:r>
        <w:rPr>
          <w:rFonts w:hint="eastAsia" w:ascii="仿宋" w:hAnsi="仿宋" w:eastAsia="仿宋"/>
          <w:sz w:val="30"/>
          <w:szCs w:val="30"/>
        </w:rPr>
        <w:t>2.1基本概念</w:t>
      </w:r>
    </w:p>
    <w:p>
      <w:pPr>
        <w:ind w:firstLine="480"/>
        <w:rPr>
          <w:rFonts w:ascii="仿宋" w:hAnsi="仿宋" w:eastAsia="仿宋"/>
        </w:rPr>
      </w:pPr>
      <w:r>
        <w:rPr>
          <w:rFonts w:hint="eastAsia" w:ascii="仿宋" w:hAnsi="仿宋" w:eastAsia="仿宋"/>
        </w:rPr>
        <w:t>（1）支付标记</w:t>
      </w:r>
    </w:p>
    <w:p>
      <w:pPr>
        <w:ind w:firstLine="480"/>
        <w:rPr>
          <w:rFonts w:ascii="仿宋" w:hAnsi="仿宋" w:eastAsia="仿宋"/>
        </w:rPr>
      </w:pPr>
      <w:r>
        <w:rPr>
          <w:rFonts w:hint="eastAsia" w:ascii="仿宋" w:hAnsi="仿宋" w:eastAsia="仿宋"/>
        </w:rPr>
        <w:t>支付</w:t>
      </w:r>
      <w:r>
        <w:rPr>
          <w:rFonts w:ascii="仿宋" w:hAnsi="仿宋" w:eastAsia="仿宋"/>
        </w:rPr>
        <w:t>标记是指主账号(PAN) 的一个替代值，一般由13至19位的数字组成，该数值必须符合主账号的基本验证规则。在银行卡支付交易中用支付标记替换卡号，用支付标记的有效期替换卡号有效期，不影响交易处理，增强了交易安全。</w:t>
      </w:r>
    </w:p>
    <w:p>
      <w:pPr>
        <w:ind w:firstLine="480"/>
        <w:rPr>
          <w:rFonts w:ascii="仿宋" w:hAnsi="仿宋" w:eastAsia="仿宋"/>
        </w:rPr>
      </w:pPr>
      <w:r>
        <w:rPr>
          <w:rFonts w:hint="eastAsia" w:ascii="仿宋" w:hAnsi="仿宋" w:eastAsia="仿宋"/>
        </w:rPr>
        <w:t>（2）</w:t>
      </w:r>
      <w:r>
        <w:rPr>
          <w:rFonts w:ascii="仿宋" w:hAnsi="仿宋" w:eastAsia="仿宋"/>
        </w:rPr>
        <w:t>Tokeni</w:t>
      </w:r>
      <w:r>
        <w:rPr>
          <w:rFonts w:hint="eastAsia" w:ascii="仿宋" w:hAnsi="仿宋" w:eastAsia="仿宋"/>
          <w:lang w:val="en-US" w:eastAsia="zh-CN"/>
        </w:rPr>
        <w:t>z</w:t>
      </w:r>
      <w:r>
        <w:rPr>
          <w:rFonts w:ascii="仿宋" w:hAnsi="仿宋" w:eastAsia="仿宋"/>
        </w:rPr>
        <w:t xml:space="preserve">ation </w:t>
      </w:r>
    </w:p>
    <w:p>
      <w:pPr>
        <w:ind w:firstLine="480"/>
        <w:rPr>
          <w:rFonts w:ascii="仿宋" w:hAnsi="仿宋" w:eastAsia="仿宋"/>
        </w:rPr>
      </w:pPr>
      <w:r>
        <w:rPr>
          <w:rFonts w:ascii="仿宋" w:hAnsi="仿宋" w:eastAsia="仿宋"/>
        </w:rPr>
        <w:t>将银行卡号替换成Token，以及相关的支付处理过程称为Tokeni</w:t>
      </w:r>
      <w:r>
        <w:rPr>
          <w:rFonts w:hint="eastAsia" w:ascii="仿宋" w:hAnsi="仿宋" w:eastAsia="仿宋"/>
          <w:lang w:val="en-US" w:eastAsia="zh-CN"/>
        </w:rPr>
        <w:t>z</w:t>
      </w:r>
      <w:r>
        <w:rPr>
          <w:rFonts w:ascii="仿宋" w:hAnsi="仿宋" w:eastAsia="仿宋"/>
        </w:rPr>
        <w:t>ation。当前Tokeni</w:t>
      </w:r>
      <w:r>
        <w:rPr>
          <w:rFonts w:hint="eastAsia" w:ascii="仿宋" w:hAnsi="仿宋" w:eastAsia="仿宋"/>
          <w:lang w:val="en-US" w:eastAsia="zh-CN"/>
        </w:rPr>
        <w:t>z</w:t>
      </w:r>
      <w:r>
        <w:rPr>
          <w:rFonts w:ascii="仿宋" w:hAnsi="仿宋" w:eastAsia="仿宋"/>
        </w:rPr>
        <w:t>ation有多种译法，</w:t>
      </w:r>
      <w:r>
        <w:rPr>
          <w:rFonts w:hint="eastAsia" w:ascii="仿宋" w:hAnsi="仿宋" w:eastAsia="仿宋"/>
        </w:rPr>
        <w:t>我们将其</w:t>
      </w:r>
      <w:r>
        <w:rPr>
          <w:rFonts w:ascii="仿宋" w:hAnsi="仿宋" w:eastAsia="仿宋"/>
        </w:rPr>
        <w:t>翻译为“标记化”，表明银行卡号被替换为Token(支付标记)，以作为支付凭证。标记化替换了银行卡号，但是没有替换银行卡生态系统。从这个意义上 而言，Tokeni</w:t>
      </w:r>
      <w:r>
        <w:rPr>
          <w:rFonts w:hint="eastAsia" w:ascii="仿宋" w:hAnsi="仿宋" w:eastAsia="仿宋"/>
          <w:lang w:val="en-US" w:eastAsia="zh-CN"/>
        </w:rPr>
        <w:t>z</w:t>
      </w:r>
      <w:r>
        <w:rPr>
          <w:rFonts w:ascii="仿宋" w:hAnsi="仿宋" w:eastAsia="仿宋"/>
        </w:rPr>
        <w:t xml:space="preserve">ation是一个生态系统，而非具体的技术或产品。 </w:t>
      </w:r>
    </w:p>
    <w:p>
      <w:pPr>
        <w:ind w:firstLine="480"/>
        <w:rPr>
          <w:rFonts w:ascii="仿宋" w:hAnsi="仿宋" w:eastAsia="仿宋"/>
        </w:rPr>
      </w:pPr>
      <w:r>
        <w:rPr>
          <w:rFonts w:hint="eastAsia" w:ascii="仿宋" w:hAnsi="仿宋" w:eastAsia="仿宋"/>
        </w:rPr>
        <w:t>（2）标记BIN</w:t>
      </w:r>
    </w:p>
    <w:p>
      <w:pPr>
        <w:ind w:firstLine="480"/>
        <w:rPr>
          <w:rFonts w:ascii="仿宋" w:hAnsi="仿宋" w:eastAsia="仿宋"/>
        </w:rPr>
      </w:pPr>
      <w:r>
        <w:rPr>
          <w:rFonts w:ascii="仿宋" w:hAnsi="仿宋" w:eastAsia="仿宋"/>
        </w:rPr>
        <w:t xml:space="preserve">标记BIN与卡BIN类似，主要用于在支付网络中交易路由，但不能和主账号PAN的BIN冲突，仅用于支付标记的发行，且属于特定的BIN范围，并在BIN表格中被相应标识。 </w:t>
      </w:r>
    </w:p>
    <w:p>
      <w:pPr>
        <w:ind w:firstLine="480"/>
        <w:rPr>
          <w:rFonts w:ascii="仿宋" w:hAnsi="仿宋" w:eastAsia="仿宋"/>
        </w:rPr>
      </w:pPr>
      <w:r>
        <w:rPr>
          <w:rFonts w:hint="eastAsia" w:ascii="仿宋" w:hAnsi="仿宋" w:eastAsia="仿宋"/>
        </w:rPr>
        <w:t>（3）标记有效期</w:t>
      </w:r>
    </w:p>
    <w:p>
      <w:pPr>
        <w:ind w:firstLine="480"/>
        <w:rPr>
          <w:rFonts w:ascii="仿宋" w:hAnsi="仿宋" w:eastAsia="仿宋"/>
        </w:rPr>
      </w:pPr>
      <w:r>
        <w:rPr>
          <w:rFonts w:ascii="仿宋" w:hAnsi="仿宋" w:eastAsia="仿宋"/>
        </w:rPr>
        <w:t>标记的有效期类似卡号有效期，在报文传输中替代卡号有效期的报文域，标记有效期一般情况下小于或等于卡号有效期。</w:t>
      </w:r>
    </w:p>
    <w:p>
      <w:pPr>
        <w:ind w:firstLine="480"/>
        <w:rPr>
          <w:rFonts w:ascii="仿宋" w:hAnsi="仿宋" w:eastAsia="仿宋"/>
        </w:rPr>
      </w:pPr>
      <w:r>
        <w:rPr>
          <w:rFonts w:hint="eastAsia" w:ascii="仿宋" w:hAnsi="仿宋" w:eastAsia="仿宋"/>
        </w:rPr>
        <w:t>（4）标记服务提供方</w:t>
      </w:r>
    </w:p>
    <w:p>
      <w:pPr>
        <w:ind w:firstLine="480"/>
        <w:rPr>
          <w:rFonts w:ascii="仿宋" w:hAnsi="仿宋" w:eastAsia="仿宋"/>
        </w:rPr>
      </w:pPr>
      <w:r>
        <w:rPr>
          <w:rFonts w:ascii="仿宋" w:hAnsi="仿宋" w:eastAsia="仿宋"/>
        </w:rPr>
        <w:t>标记服务提供方</w:t>
      </w:r>
      <w:r>
        <w:rPr>
          <w:rFonts w:hint="eastAsia" w:ascii="仿宋" w:hAnsi="仿宋" w:eastAsia="仿宋"/>
        </w:rPr>
        <w:t>（</w:t>
      </w:r>
      <w:r>
        <w:rPr>
          <w:rFonts w:ascii="仿宋" w:hAnsi="仿宋" w:eastAsia="仿宋"/>
        </w:rPr>
        <w:t>Token Service Provider</w:t>
      </w:r>
      <w:r>
        <w:rPr>
          <w:rFonts w:hint="eastAsia" w:ascii="仿宋" w:hAnsi="仿宋" w:eastAsia="仿宋"/>
        </w:rPr>
        <w:t>，以下简称TSP）</w:t>
      </w:r>
      <w:r>
        <w:rPr>
          <w:rFonts w:ascii="仿宋" w:hAnsi="仿宋" w:eastAsia="仿宋"/>
        </w:rPr>
        <w:t>是负责产生、维护标记的主体，它也负责管理标记请求方，并向其提供标记的相关服务。标记服务提供方作为支付标记的发行机构，负责TSP的建设、维护以及运营</w:t>
      </w:r>
      <w:r>
        <w:rPr>
          <w:rFonts w:ascii="仿宋" w:hAnsi="仿宋" w:eastAsia="仿宋" w:cs="MS Mincho"/>
        </w:rPr>
        <w:t>。</w:t>
      </w:r>
    </w:p>
    <w:p>
      <w:pPr>
        <w:ind w:firstLine="480"/>
        <w:rPr>
          <w:rFonts w:ascii="仿宋" w:hAnsi="仿宋" w:eastAsia="仿宋"/>
        </w:rPr>
      </w:pPr>
      <w:r>
        <w:rPr>
          <w:rFonts w:hint="eastAsia" w:ascii="仿宋" w:hAnsi="仿宋" w:eastAsia="仿宋"/>
        </w:rPr>
        <w:t>（5）标记请求方</w:t>
      </w:r>
    </w:p>
    <w:p>
      <w:pPr>
        <w:ind w:firstLine="480"/>
        <w:rPr>
          <w:rFonts w:ascii="仿宋" w:hAnsi="仿宋" w:eastAsia="仿宋"/>
        </w:rPr>
      </w:pPr>
      <w:r>
        <w:rPr>
          <w:rFonts w:hint="eastAsia" w:ascii="仿宋" w:hAnsi="仿宋" w:eastAsia="仿宋"/>
        </w:rPr>
        <w:t>标记请求方（</w:t>
      </w:r>
      <w:r>
        <w:rPr>
          <w:rFonts w:ascii="仿宋" w:hAnsi="仿宋" w:eastAsia="仿宋"/>
        </w:rPr>
        <w:t xml:space="preserve">Token </w:t>
      </w:r>
      <w:r>
        <w:rPr>
          <w:rFonts w:hint="eastAsia" w:ascii="仿宋" w:hAnsi="仿宋" w:eastAsia="仿宋"/>
          <w:lang w:eastAsia="zh-CN"/>
        </w:rPr>
        <w:t>Requester</w:t>
      </w:r>
      <w:r>
        <w:rPr>
          <w:rFonts w:hint="eastAsia" w:ascii="仿宋" w:hAnsi="仿宋" w:eastAsia="仿宋"/>
        </w:rPr>
        <w:t xml:space="preserve"> ，以下简称TR）是</w:t>
      </w:r>
      <w:r>
        <w:rPr>
          <w:rFonts w:ascii="仿宋" w:hAnsi="仿宋" w:eastAsia="仿宋"/>
        </w:rPr>
        <w:t>向标记服务提供方提交标记申请的机构。该机构可以是传统支付行业的参与者或者某类专业化服务提供方。在标记化系统中，标记服务提供方管理并唯一标识标记请求方。</w:t>
      </w:r>
    </w:p>
    <w:p>
      <w:pPr>
        <w:ind w:firstLine="480"/>
        <w:rPr>
          <w:rFonts w:ascii="仿宋" w:hAnsi="仿宋" w:eastAsia="仿宋"/>
        </w:rPr>
      </w:pPr>
      <w:r>
        <w:rPr>
          <w:rFonts w:hint="eastAsia" w:ascii="仿宋" w:hAnsi="仿宋" w:eastAsia="仿宋"/>
        </w:rPr>
        <w:t>（6）身份识别和验证</w:t>
      </w:r>
    </w:p>
    <w:p>
      <w:pPr>
        <w:ind w:firstLine="480"/>
        <w:rPr>
          <w:rFonts w:ascii="仿宋" w:hAnsi="仿宋" w:eastAsia="仿宋"/>
        </w:rPr>
      </w:pPr>
      <w:r>
        <w:rPr>
          <w:rFonts w:ascii="仿宋" w:hAnsi="仿宋" w:eastAsia="仿宋"/>
        </w:rPr>
        <w:t>用于验证持卡人及其账户的有效性的方法，ID&amp;V作为支付标记申请时一个重要环节，其结果直接决定了所申请的支付标记和原始主账号PAN之间的可信程度。</w:t>
      </w:r>
    </w:p>
    <w:p>
      <w:pPr>
        <w:ind w:firstLine="480"/>
        <w:rPr>
          <w:rFonts w:ascii="仿宋" w:hAnsi="仿宋" w:eastAsia="仿宋"/>
        </w:rPr>
      </w:pPr>
      <w:r>
        <w:rPr>
          <w:rFonts w:hint="eastAsia" w:ascii="仿宋" w:hAnsi="仿宋" w:eastAsia="仿宋"/>
        </w:rPr>
        <w:t>（7）担保级别</w:t>
      </w:r>
    </w:p>
    <w:p>
      <w:pPr>
        <w:ind w:firstLine="480"/>
        <w:rPr>
          <w:rFonts w:ascii="仿宋" w:hAnsi="仿宋" w:eastAsia="仿宋"/>
          <w:kern w:val="0"/>
        </w:rPr>
      </w:pPr>
      <w:r>
        <w:rPr>
          <w:rFonts w:ascii="仿宋" w:hAnsi="仿宋" w:eastAsia="仿宋"/>
        </w:rPr>
        <w:t>担保级别用于表示所申请的支付标记和其绑定的主账号PAN的可信程度，该值受很多因素的影响，包括账户验证的结果、身份认证的结果、风险监控系统的评分等等，它也会受到标记存储位置等其它因素的影响。</w:t>
      </w:r>
    </w:p>
    <w:p>
      <w:pPr>
        <w:ind w:firstLine="480"/>
        <w:rPr>
          <w:rFonts w:ascii="仿宋" w:hAnsi="仿宋" w:eastAsia="仿宋"/>
        </w:rPr>
      </w:pPr>
      <w:r>
        <w:rPr>
          <w:rFonts w:ascii="仿宋" w:hAnsi="仿宋" w:eastAsia="仿宋"/>
        </w:rPr>
        <w:t>担保级别在标记产生时由标记服务提供方根据一系列控制要素和验证结果综合判定;在标记产生之后，如果对该标记进行额外的ID&amp;V操作，标记的担保级别也可进行更新。</w:t>
      </w:r>
    </w:p>
    <w:p>
      <w:pPr>
        <w:ind w:firstLine="480"/>
        <w:rPr>
          <w:rFonts w:ascii="仿宋" w:hAnsi="仿宋" w:eastAsia="仿宋"/>
        </w:rPr>
      </w:pPr>
      <w:r>
        <w:rPr>
          <w:rFonts w:hint="eastAsia" w:ascii="仿宋" w:hAnsi="仿宋" w:eastAsia="仿宋"/>
        </w:rPr>
        <w:t>（8）标记的域控</w:t>
      </w:r>
    </w:p>
    <w:p>
      <w:pPr>
        <w:ind w:firstLine="480"/>
        <w:rPr>
          <w:rFonts w:ascii="仿宋" w:hAnsi="仿宋" w:eastAsia="仿宋"/>
        </w:rPr>
      </w:pPr>
      <w:r>
        <w:rPr>
          <w:rFonts w:ascii="仿宋" w:hAnsi="仿宋" w:eastAsia="仿宋"/>
        </w:rPr>
        <w:t>表示标记被限定的使用场景，比如特定的交易类型、使用次数、支付渠道(例如仅NFC)、商户名称、数字钱包服务提供方或者以上限定场景的任意组合。一个简单的例子就是线上商户，可以为该商户定义一个单独的域控，这样即使支付标记被攻击或者泄露，也不能用在其他支付交易场景中。</w:t>
      </w:r>
    </w:p>
    <w:p>
      <w:pPr>
        <w:ind w:firstLine="480"/>
        <w:rPr>
          <w:rFonts w:ascii="仿宋" w:hAnsi="仿宋" w:eastAsia="仿宋"/>
        </w:rPr>
      </w:pPr>
      <w:r>
        <w:rPr>
          <w:rFonts w:hint="eastAsia" w:ascii="仿宋" w:hAnsi="仿宋" w:eastAsia="仿宋"/>
        </w:rPr>
        <w:t>（9）标记的存储位置</w:t>
      </w:r>
    </w:p>
    <w:p>
      <w:pPr>
        <w:ind w:firstLine="480"/>
        <w:rPr>
          <w:rFonts w:ascii="仿宋" w:hAnsi="仿宋" w:eastAsia="仿宋"/>
        </w:rPr>
      </w:pPr>
      <w:r>
        <w:rPr>
          <w:rFonts w:ascii="仿宋" w:hAnsi="仿宋" w:eastAsia="仿宋"/>
        </w:rPr>
        <w:t xml:space="preserve">支付标记位置的安全性将会影响该支付标记的担保级别。标记服务提供方需要定义标记的存储位置，并且负责对相关的标记请求方申请的存储位置执行检查。建议包括以下存储类型: </w:t>
      </w:r>
    </w:p>
    <w:p>
      <w:pPr>
        <w:ind w:firstLine="480"/>
        <w:rPr>
          <w:rFonts w:ascii="仿宋" w:hAnsi="仿宋" w:eastAsia="仿宋" w:cs="MS Mincho"/>
        </w:rPr>
      </w:pPr>
      <w:r>
        <w:rPr>
          <w:rFonts w:hint="eastAsia" w:ascii="仿宋" w:hAnsi="仿宋" w:eastAsia="仿宋" w:cs="Wingdings"/>
        </w:rPr>
        <w:t>1、</w:t>
      </w:r>
      <w:r>
        <w:rPr>
          <w:rFonts w:ascii="仿宋" w:hAnsi="仿宋" w:eastAsia="仿宋"/>
        </w:rPr>
        <w:t>远程存储，例如大商户的服务器；</w:t>
      </w:r>
    </w:p>
    <w:p>
      <w:pPr>
        <w:ind w:firstLine="480"/>
        <w:rPr>
          <w:rFonts w:ascii="仿宋" w:hAnsi="仿宋" w:eastAsia="仿宋" w:cs="MS Mincho"/>
        </w:rPr>
      </w:pPr>
      <w:r>
        <w:rPr>
          <w:rFonts w:hint="eastAsia" w:ascii="仿宋" w:hAnsi="仿宋" w:eastAsia="仿宋" w:cs="Wingdings"/>
        </w:rPr>
        <w:t>2、</w:t>
      </w:r>
      <w:r>
        <w:rPr>
          <w:rFonts w:ascii="仿宋" w:hAnsi="仿宋" w:eastAsia="仿宋"/>
        </w:rPr>
        <w:t>SE存储，例如芯片，手机中的SE；</w:t>
      </w:r>
      <w:r>
        <w:rPr>
          <w:rFonts w:hint="eastAsia" w:ascii="MS Gothic" w:hAnsi="MS Gothic" w:eastAsia="MS Gothic" w:cs="MS Gothic"/>
        </w:rPr>
        <w:t> </w:t>
      </w:r>
    </w:p>
    <w:p>
      <w:pPr>
        <w:ind w:firstLine="480"/>
        <w:rPr>
          <w:rFonts w:ascii="仿宋" w:hAnsi="仿宋" w:eastAsia="仿宋" w:cs="MS Mincho"/>
        </w:rPr>
      </w:pPr>
      <w:r>
        <w:rPr>
          <w:rFonts w:hint="eastAsia" w:ascii="仿宋" w:hAnsi="仿宋" w:eastAsia="仿宋" w:cs="Wingdings"/>
        </w:rPr>
        <w:t>3、</w:t>
      </w:r>
      <w:r>
        <w:rPr>
          <w:rFonts w:ascii="仿宋" w:hAnsi="仿宋" w:eastAsia="仿宋"/>
        </w:rPr>
        <w:t>本地安全环境存储</w:t>
      </w:r>
      <w:r>
        <w:rPr>
          <w:rFonts w:hint="eastAsia" w:ascii="仿宋" w:hAnsi="仿宋" w:eastAsia="仿宋"/>
        </w:rPr>
        <w:t>：</w:t>
      </w:r>
      <w:r>
        <w:rPr>
          <w:rFonts w:ascii="仿宋" w:hAnsi="仿宋" w:eastAsia="仿宋"/>
        </w:rPr>
        <w:t>例如TEE;</w:t>
      </w:r>
      <w:r>
        <w:rPr>
          <w:rFonts w:ascii="仿宋" w:hAnsi="仿宋" w:eastAsia="仿宋" w:cs="MS Mincho"/>
        </w:rPr>
        <w:t>；</w:t>
      </w:r>
    </w:p>
    <w:p>
      <w:pPr>
        <w:ind w:firstLine="480"/>
        <w:rPr>
          <w:rFonts w:ascii="仿宋" w:hAnsi="仿宋" w:eastAsia="仿宋"/>
        </w:rPr>
      </w:pPr>
      <w:r>
        <w:rPr>
          <w:rFonts w:hint="eastAsia" w:ascii="仿宋" w:hAnsi="仿宋" w:eastAsia="仿宋" w:cs="Wingdings"/>
        </w:rPr>
        <w:t>4、</w:t>
      </w:r>
      <w:r>
        <w:rPr>
          <w:rFonts w:ascii="仿宋" w:hAnsi="仿宋" w:eastAsia="仿宋"/>
        </w:rPr>
        <w:t>远程安全环境存储</w:t>
      </w:r>
      <w:r>
        <w:rPr>
          <w:rFonts w:hint="eastAsia" w:ascii="仿宋" w:hAnsi="仿宋" w:eastAsia="仿宋"/>
        </w:rPr>
        <w:t>：</w:t>
      </w:r>
      <w:r>
        <w:rPr>
          <w:rFonts w:ascii="仿宋" w:hAnsi="仿宋" w:eastAsia="仿宋"/>
        </w:rPr>
        <w:t>如云SE；</w:t>
      </w:r>
    </w:p>
    <w:p>
      <w:pPr>
        <w:ind w:firstLine="480"/>
        <w:rPr>
          <w:rFonts w:ascii="仿宋" w:hAnsi="仿宋" w:eastAsia="仿宋"/>
        </w:rPr>
      </w:pPr>
      <w:r>
        <w:rPr>
          <w:rFonts w:hint="eastAsia" w:ascii="仿宋" w:hAnsi="仿宋" w:eastAsia="仿宋"/>
        </w:rPr>
        <w:t>（10）去标记化操作</w:t>
      </w:r>
    </w:p>
    <w:p>
      <w:pPr>
        <w:ind w:firstLine="480"/>
      </w:pPr>
      <w:r>
        <w:rPr>
          <w:rFonts w:ascii="仿宋" w:hAnsi="仿宋" w:eastAsia="仿宋"/>
        </w:rPr>
        <w:t>去标记化操作，是TSP根据当前的交易场景在判断支付标记的有效性、域控以及交易金额限制等措施后，将其转换为原始主账号PAN的操作。去标记化操作可能包括交易验证功能。</w:t>
      </w:r>
    </w:p>
    <w:p>
      <w:pPr>
        <w:ind w:firstLine="480"/>
      </w:pPr>
    </w:p>
    <w:p>
      <w:pPr>
        <w:pStyle w:val="3"/>
        <w:rPr>
          <w:rFonts w:ascii="仿宋" w:hAnsi="仿宋" w:eastAsia="仿宋"/>
          <w:sz w:val="30"/>
          <w:szCs w:val="30"/>
        </w:rPr>
      </w:pPr>
      <w:r>
        <w:rPr>
          <w:rFonts w:hint="eastAsia" w:ascii="仿宋" w:hAnsi="仿宋" w:eastAsia="仿宋"/>
          <w:sz w:val="30"/>
          <w:szCs w:val="30"/>
        </w:rPr>
        <w:t>2.2标记化的使用</w:t>
      </w:r>
    </w:p>
    <w:p>
      <w:pPr>
        <w:ind w:firstLine="0" w:firstLineChars="0"/>
        <w:jc w:val="both"/>
      </w:pPr>
      <w:r>
        <w:drawing>
          <wp:inline distT="0" distB="0" distL="0" distR="0">
            <wp:extent cx="5274310" cy="292798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2927985"/>
                    </a:xfrm>
                    <a:prstGeom prst="rect">
                      <a:avLst/>
                    </a:prstGeom>
                  </pic:spPr>
                </pic:pic>
              </a:graphicData>
            </a:graphic>
          </wp:inline>
        </w:drawing>
      </w:r>
    </w:p>
    <w:p>
      <w:pPr>
        <w:ind w:firstLine="0" w:firstLineChars="0"/>
        <w:jc w:val="center"/>
        <w:rPr>
          <w:rFonts w:ascii="仿宋" w:hAnsi="仿宋" w:eastAsia="仿宋"/>
        </w:rPr>
      </w:pPr>
      <w:r>
        <w:rPr>
          <w:rFonts w:hint="eastAsia" w:ascii="仿宋" w:hAnsi="仿宋" w:eastAsia="仿宋"/>
        </w:rPr>
        <w:t>图2.1 标记化的四种典型使用场景</w:t>
      </w:r>
    </w:p>
    <w:p>
      <w:pPr>
        <w:ind w:firstLine="480"/>
      </w:pPr>
      <w:r>
        <w:rPr>
          <w:rFonts w:ascii="仿宋" w:hAnsi="仿宋" w:eastAsia="仿宋"/>
        </w:rPr>
        <w:t>标记化的全球性技术框架由EMVCo</w:t>
      </w:r>
      <w:r>
        <w:rPr>
          <w:rFonts w:hint="eastAsia" w:ascii="仿宋" w:hAnsi="仿宋" w:eastAsia="仿宋"/>
        </w:rPr>
        <w:t>标准化组织</w:t>
      </w:r>
      <w:r>
        <w:rPr>
          <w:rFonts w:ascii="仿宋" w:hAnsi="仿宋" w:eastAsia="仿宋"/>
        </w:rPr>
        <w:t>于2014年3月发布。EMV</w:t>
      </w:r>
      <w:bookmarkStart w:id="5" w:name="_GoBack"/>
      <w:bookmarkEnd w:id="5"/>
      <w:r>
        <w:rPr>
          <w:rFonts w:ascii="仿宋" w:hAnsi="仿宋" w:eastAsia="仿宋"/>
        </w:rPr>
        <w:t>Co在规范中仅描述了四种典型场景:在线商户、数字钱包、非接NFC支付、二维码支付，包括了线上支付场景与线下支付场景，但是其生命力远不止于此。如上述分析，标记化生态系统确保替换银行卡号后，支付得以顺利开展，因此只要应用银行卡号的支付场景，都可以实现标记化，相关的安全技术以及业务方式都可以在其中体现。</w:t>
      </w:r>
      <w:r>
        <w:t xml:space="preserve"> </w:t>
      </w:r>
    </w:p>
    <w:p>
      <w:pPr>
        <w:ind w:firstLine="480"/>
      </w:pPr>
    </w:p>
    <w:p>
      <w:pPr>
        <w:pStyle w:val="3"/>
        <w:rPr>
          <w:rFonts w:ascii="仿宋" w:hAnsi="仿宋" w:eastAsia="仿宋"/>
          <w:sz w:val="30"/>
          <w:szCs w:val="30"/>
        </w:rPr>
      </w:pPr>
      <w:r>
        <w:rPr>
          <w:rFonts w:hint="eastAsia" w:ascii="仿宋" w:hAnsi="仿宋" w:eastAsia="仿宋"/>
          <w:sz w:val="30"/>
          <w:szCs w:val="30"/>
        </w:rPr>
        <w:t>2.3移动支付安全性</w:t>
      </w:r>
    </w:p>
    <w:p>
      <w:pPr>
        <w:ind w:firstLine="480"/>
        <w:rPr>
          <w:rFonts w:ascii="仿宋" w:hAnsi="仿宋" w:eastAsia="仿宋"/>
        </w:rPr>
      </w:pPr>
      <w:r>
        <w:rPr>
          <w:rFonts w:hint="eastAsia" w:ascii="仿宋" w:hAnsi="仿宋" w:eastAsia="仿宋"/>
        </w:rPr>
        <w:t>随着智能手机和移动网络的迅猛发展，移动支付进入了千万人的生活，支付标记化技术的推出为支付业务提供了一个相对安全且便捷的解决方案。标记化在四个方面提升了移动支付的安全性：</w:t>
      </w:r>
    </w:p>
    <w:p>
      <w:pPr>
        <w:ind w:firstLine="480"/>
        <w:rPr>
          <w:rFonts w:ascii="仿宋" w:hAnsi="仿宋" w:eastAsia="仿宋"/>
        </w:rPr>
      </w:pPr>
      <w:r>
        <w:rPr>
          <w:rFonts w:ascii="仿宋" w:hAnsi="仿宋" w:eastAsia="仿宋"/>
        </w:rPr>
        <w:t>一是交易处理依靠Token而不是卡号，</w:t>
      </w:r>
      <w:r>
        <w:rPr>
          <w:rFonts w:hint="eastAsia" w:ascii="仿宋" w:hAnsi="仿宋" w:eastAsia="仿宋"/>
        </w:rPr>
        <w:t>也</w:t>
      </w:r>
      <w:r>
        <w:rPr>
          <w:rFonts w:ascii="仿宋" w:hAnsi="仿宋" w:eastAsia="仿宋"/>
        </w:rPr>
        <w:t>就是</w:t>
      </w:r>
      <w:r>
        <w:rPr>
          <w:rFonts w:hint="eastAsia" w:ascii="仿宋" w:hAnsi="仿宋" w:eastAsia="仿宋"/>
        </w:rPr>
        <w:t>说</w:t>
      </w:r>
      <w:r>
        <w:rPr>
          <w:rFonts w:ascii="仿宋" w:hAnsi="仿宋" w:eastAsia="仿宋"/>
        </w:rPr>
        <w:t>卡号信息得以保护，要泄露的也只能是Token。Token和卡号不会同时用于交易路由判读，商户与收单机构仅存有Token，实现了对卡号信息的保护，防范了卡号泄露风险。掌握 Token和卡号绑定关系的机构称为TSP(</w:t>
      </w:r>
      <w:r>
        <w:rPr>
          <w:rFonts w:hint="eastAsia" w:ascii="仿宋" w:hAnsi="仿宋" w:eastAsia="仿宋"/>
        </w:rPr>
        <w:t>也就是</w:t>
      </w:r>
      <w:r>
        <w:rPr>
          <w:rFonts w:ascii="仿宋" w:hAnsi="仿宋" w:eastAsia="仿宋"/>
        </w:rPr>
        <w:t xml:space="preserve">Token服务提供方)，比如卡组织，或者发卡银行，它负责Token的发行与验证，为从Token到卡号的还原提供相关的验证服务。 </w:t>
      </w:r>
    </w:p>
    <w:p>
      <w:pPr>
        <w:ind w:firstLine="480"/>
        <w:rPr>
          <w:rFonts w:ascii="仿宋" w:hAnsi="仿宋" w:eastAsia="仿宋"/>
        </w:rPr>
      </w:pPr>
      <w:r>
        <w:rPr>
          <w:rFonts w:ascii="仿宋" w:hAnsi="仿宋" w:eastAsia="仿宋"/>
        </w:rPr>
        <w:t xml:space="preserve">二是Token被限定在特定的应用场景。Token即使被泄露也往往没有用武之地。Token的发行需要可信的机构向TSP申请，申请方称为TR(Token请求方)，可以提交Token的限定场景(比如说苹果公司发起Token申请，希望限定Token在某台iPhone使用，再比如某网站发起Token申请，希望限定Token在该网站使用)。这一措施降低了Token泄露后的影响范围。 </w:t>
      </w:r>
    </w:p>
    <w:p>
      <w:pPr>
        <w:ind w:firstLine="480"/>
        <w:rPr>
          <w:rFonts w:ascii="仿宋" w:hAnsi="仿宋" w:eastAsia="仿宋"/>
        </w:rPr>
      </w:pPr>
      <w:r>
        <w:rPr>
          <w:rFonts w:ascii="仿宋" w:hAnsi="仿宋" w:eastAsia="仿宋"/>
        </w:rPr>
        <w:t xml:space="preserve">三是标记化提出分层次的验证机制。发行Token类似发行银行卡，银行在发卡时会对持卡人开展身份核实与信用风险评估，TSP在发行Token时也要开展身份验证，根据不同的验证手段与可信程度，对验证结果分层描述，可分为高安全、中等安全、低安全以及无身份验证等层级，甚至可以用数值精准地描述。验证结果返回给TR，并出现在交易过程中，供参与交易的各方开展交易风险监控时参考。 </w:t>
      </w:r>
    </w:p>
    <w:p>
      <w:pPr>
        <w:ind w:firstLine="480"/>
      </w:pPr>
      <w:r>
        <w:rPr>
          <w:rFonts w:ascii="仿宋" w:hAnsi="仿宋" w:eastAsia="仿宋"/>
        </w:rPr>
        <w:t>四是标记化兼容现有的技术以及业务模式。比如说应用Token以后，不用担心持卡人无法选择正确的卡支付，因为卡号的后四位仍然会出现在商户网站，用于提示。再比如IC卡的身份认证机制，包括联机认证与脱机认证，这两种认证方式均可以结合Token使用。因此，Token应用无需持卡人感知并做出改变。</w:t>
      </w:r>
      <w:r>
        <w:t xml:space="preserve"> </w:t>
      </w:r>
    </w:p>
    <w:p>
      <w:pPr>
        <w:pStyle w:val="8"/>
        <w:rPr>
          <w:rFonts w:ascii="仿宋" w:hAnsi="仿宋"/>
        </w:rPr>
      </w:pPr>
      <w:r>
        <w:rPr>
          <w:rFonts w:ascii="仿宋" w:hAnsi="仿宋"/>
        </w:rPr>
        <w:t xml:space="preserve">3 </w:t>
      </w:r>
      <w:r>
        <w:rPr>
          <w:rFonts w:hint="eastAsia" w:ascii="仿宋" w:hAnsi="仿宋"/>
        </w:rPr>
        <w:t>技术方案</w:t>
      </w:r>
    </w:p>
    <w:p>
      <w:pPr>
        <w:pStyle w:val="3"/>
        <w:rPr>
          <w:rFonts w:ascii="仿宋" w:hAnsi="仿宋" w:eastAsia="仿宋"/>
          <w:sz w:val="30"/>
          <w:szCs w:val="30"/>
        </w:rPr>
      </w:pPr>
      <w:r>
        <w:rPr>
          <w:rFonts w:hint="eastAsia" w:ascii="仿宋" w:hAnsi="仿宋" w:eastAsia="仿宋"/>
          <w:sz w:val="30"/>
          <w:szCs w:val="30"/>
        </w:rPr>
        <w:t>3.1系统架构</w:t>
      </w:r>
    </w:p>
    <w:p>
      <w:pPr>
        <w:ind w:firstLine="480"/>
        <w:rPr>
          <w:rFonts w:ascii="仿宋" w:hAnsi="仿宋" w:eastAsia="仿宋"/>
        </w:rPr>
      </w:pPr>
      <w:r>
        <w:rPr>
          <w:rFonts w:ascii="仿宋" w:hAnsi="仿宋" w:eastAsia="仿宋"/>
        </w:rPr>
        <w:t>支付标记化系统架构(如</w:t>
      </w:r>
      <w:r>
        <w:rPr>
          <w:rFonts w:hint="eastAsia" w:ascii="仿宋" w:hAnsi="仿宋" w:eastAsia="仿宋"/>
        </w:rPr>
        <w:t>图3.1</w:t>
      </w:r>
      <w:r>
        <w:rPr>
          <w:rFonts w:ascii="仿宋" w:hAnsi="仿宋" w:eastAsia="仿宋"/>
        </w:rPr>
        <w:t xml:space="preserve">所示)描述了现有支付产业中主要主体及关系，标记请求方与标记服务提供方两个角色与现有传统支付流程的关系和数据交互接口，明确了支付标记如何共同为持卡人和商户提供标记服务。 </w:t>
      </w:r>
    </w:p>
    <w:p>
      <w:pPr>
        <w:widowControl/>
        <w:autoSpaceDE w:val="0"/>
        <w:autoSpaceDN w:val="0"/>
        <w:adjustRightInd w:val="0"/>
        <w:spacing w:after="240" w:line="280" w:lineRule="atLeast"/>
        <w:ind w:firstLine="0" w:firstLineChars="0"/>
        <w:jc w:val="center"/>
        <w:rPr>
          <w:rFonts w:ascii="仿宋" w:hAnsi="仿宋" w:eastAsia="仿宋" w:cs="Times"/>
          <w:color w:val="000000"/>
          <w:kern w:val="0"/>
        </w:rPr>
      </w:pPr>
      <w:r>
        <w:rPr>
          <w:rFonts w:hint="eastAsia" w:ascii="仿宋" w:hAnsi="仿宋" w:eastAsia="仿宋" w:cs="Times"/>
          <w:color w:val="000000"/>
          <w:kern w:val="0"/>
        </w:rPr>
        <w:drawing>
          <wp:inline distT="0" distB="0" distL="0" distR="0">
            <wp:extent cx="4735195" cy="3845560"/>
            <wp:effectExtent l="0" t="0" r="0" b="0"/>
            <wp:docPr id="19" name="图片 19" desc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eskto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35195" cy="3845560"/>
                    </a:xfrm>
                    <a:prstGeom prst="rect">
                      <a:avLst/>
                    </a:prstGeom>
                    <a:noFill/>
                    <a:ln>
                      <a:noFill/>
                    </a:ln>
                  </pic:spPr>
                </pic:pic>
              </a:graphicData>
            </a:graphic>
          </wp:inline>
        </w:drawing>
      </w:r>
    </w:p>
    <w:p>
      <w:pPr>
        <w:ind w:firstLine="0" w:firstLineChars="0"/>
        <w:jc w:val="center"/>
        <w:rPr>
          <w:rFonts w:ascii="仿宋" w:hAnsi="仿宋" w:eastAsia="仿宋"/>
        </w:rPr>
      </w:pPr>
      <w:r>
        <w:rPr>
          <w:rFonts w:hint="eastAsia" w:ascii="仿宋" w:hAnsi="仿宋" w:eastAsia="仿宋"/>
        </w:rPr>
        <w:t>图3.1 支付标记化系统架构</w:t>
      </w:r>
    </w:p>
    <w:p>
      <w:pPr>
        <w:ind w:firstLine="480"/>
      </w:pPr>
      <w:r>
        <w:rPr>
          <w:rFonts w:ascii="仿宋" w:hAnsi="仿宋" w:eastAsia="仿宋"/>
        </w:rPr>
        <w:t>其中，标记服务提供方是该标记化框架的核心角色，它提供了标记的申请、生成、管理、去标记化等功能，包括标记请求方(TR)的注册和管理职责。根据不同的业务场景、受理渠道以及标记的应用域控，标记服务提供方会制定与之配套个性化参数和控制措施，最终达到标记交易控制和风险监控。而标记请求方则作为标记请求的实体向标记服务提供方申请标记，并同步管理需要应用标记的实体，如商户、持卡人等。</w:t>
      </w:r>
      <w:r>
        <w:t xml:space="preserve"> </w:t>
      </w:r>
    </w:p>
    <w:p>
      <w:pPr>
        <w:ind w:firstLine="480"/>
      </w:pPr>
    </w:p>
    <w:p>
      <w:pPr>
        <w:pStyle w:val="3"/>
        <w:rPr>
          <w:rFonts w:ascii="仿宋" w:hAnsi="仿宋" w:eastAsia="仿宋"/>
          <w:sz w:val="30"/>
          <w:szCs w:val="30"/>
        </w:rPr>
      </w:pPr>
      <w:r>
        <w:rPr>
          <w:rFonts w:hint="eastAsia" w:ascii="仿宋" w:hAnsi="仿宋" w:eastAsia="仿宋"/>
          <w:sz w:val="30"/>
          <w:szCs w:val="30"/>
        </w:rPr>
        <w:t>3.2标记请求方注册</w:t>
      </w:r>
    </w:p>
    <w:p>
      <w:pPr>
        <w:ind w:firstLine="480"/>
        <w:rPr>
          <w:rFonts w:ascii="仿宋" w:hAnsi="仿宋" w:eastAsia="仿宋"/>
        </w:rPr>
      </w:pPr>
      <w:r>
        <w:rPr>
          <w:rFonts w:ascii="仿宋" w:hAnsi="仿宋" w:eastAsia="仿宋"/>
        </w:rPr>
        <w:t>标记服务提供方应根据自己的业务需求制定所管辖的标记请求方的申请和注册流程(如图</w:t>
      </w:r>
      <w:r>
        <w:rPr>
          <w:rFonts w:hint="eastAsia" w:ascii="仿宋" w:hAnsi="仿宋" w:eastAsia="仿宋"/>
        </w:rPr>
        <w:t>3.2</w:t>
      </w:r>
      <w:r>
        <w:rPr>
          <w:rFonts w:ascii="仿宋" w:hAnsi="仿宋" w:eastAsia="仿宋"/>
        </w:rPr>
        <w:t xml:space="preserve">所示)。拟注册为标记请求方的实体可以在多个标记服务提供方分别进行注册。 </w:t>
      </w:r>
    </w:p>
    <w:p>
      <w:pPr>
        <w:ind w:firstLine="0" w:firstLineChars="0"/>
        <w:jc w:val="center"/>
        <w:rPr>
          <w:rFonts w:ascii="仿宋" w:hAnsi="仿宋" w:eastAsia="仿宋"/>
        </w:rPr>
      </w:pPr>
      <w:r>
        <w:rPr>
          <w:rFonts w:hint="eastAsia" w:ascii="仿宋" w:hAnsi="仿宋" w:eastAsia="仿宋"/>
        </w:rPr>
        <w:drawing>
          <wp:inline distT="0" distB="0" distL="0" distR="0">
            <wp:extent cx="1887855" cy="2665095"/>
            <wp:effectExtent l="0" t="0" r="0" b="1905"/>
            <wp:docPr id="12" name="图片 12" desc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esktop/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12710" cy="2699891"/>
                    </a:xfrm>
                    <a:prstGeom prst="rect">
                      <a:avLst/>
                    </a:prstGeom>
                    <a:noFill/>
                    <a:ln>
                      <a:noFill/>
                    </a:ln>
                  </pic:spPr>
                </pic:pic>
              </a:graphicData>
            </a:graphic>
          </wp:inline>
        </w:drawing>
      </w:r>
    </w:p>
    <w:p>
      <w:pPr>
        <w:ind w:firstLine="0" w:firstLineChars="0"/>
        <w:jc w:val="center"/>
        <w:rPr>
          <w:rFonts w:ascii="仿宋" w:hAnsi="仿宋" w:eastAsia="仿宋"/>
        </w:rPr>
      </w:pPr>
      <w:r>
        <w:rPr>
          <w:rFonts w:hint="eastAsia" w:ascii="仿宋" w:hAnsi="仿宋" w:eastAsia="仿宋"/>
        </w:rPr>
        <w:t>图3.2 支付标记请求方注册流程</w:t>
      </w:r>
    </w:p>
    <w:p>
      <w:pPr>
        <w:ind w:firstLine="480"/>
      </w:pPr>
      <w:r>
        <w:rPr>
          <w:rFonts w:ascii="仿宋" w:hAnsi="仿宋" w:eastAsia="仿宋"/>
        </w:rPr>
        <w:t>标记服务请求方在申请注册时，标记服务提供方自主决定所需要收集的信息，可能包括持卡人账户验证信息、标记请求方所支持的用户场景、以及标记的域控等。一旦标记请求方注册成功，那么标记请求方被分配一个唯一的ID，对应该ID下的支付标记域控和其他交易控制措施将同步记录在标记服务提供方的系统中，用于后续的交易验证。</w:t>
      </w:r>
      <w:r>
        <w:t xml:space="preserve"> </w:t>
      </w:r>
    </w:p>
    <w:p>
      <w:pPr>
        <w:ind w:firstLine="480"/>
      </w:pPr>
    </w:p>
    <w:p>
      <w:pPr>
        <w:pStyle w:val="3"/>
        <w:rPr>
          <w:rFonts w:ascii="仿宋" w:hAnsi="仿宋" w:eastAsia="仿宋"/>
          <w:sz w:val="30"/>
          <w:szCs w:val="30"/>
        </w:rPr>
      </w:pPr>
      <w:r>
        <w:rPr>
          <w:rFonts w:hint="eastAsia" w:ascii="仿宋" w:hAnsi="仿宋" w:eastAsia="仿宋"/>
          <w:sz w:val="30"/>
          <w:szCs w:val="30"/>
        </w:rPr>
        <w:t>3.3标记申请流程</w:t>
      </w:r>
    </w:p>
    <w:p>
      <w:pPr>
        <w:ind w:firstLine="480"/>
        <w:rPr>
          <w:rFonts w:ascii="仿宋" w:hAnsi="仿宋" w:eastAsia="仿宋"/>
        </w:rPr>
      </w:pPr>
      <w:r>
        <w:rPr>
          <w:rFonts w:hint="eastAsia" w:ascii="仿宋" w:hAnsi="仿宋" w:eastAsia="仿宋"/>
        </w:rPr>
        <w:t>图3.2概括性地描述了支付标记的申请流程。</w:t>
      </w:r>
    </w:p>
    <w:p>
      <w:pPr>
        <w:ind w:firstLine="0" w:firstLineChars="0"/>
        <w:jc w:val="center"/>
        <w:rPr>
          <w:rFonts w:ascii="仿宋" w:hAnsi="仿宋" w:eastAsia="仿宋"/>
        </w:rPr>
      </w:pPr>
      <w:r>
        <w:rPr>
          <w:rFonts w:ascii="仿宋" w:hAnsi="仿宋" w:eastAsia="仿宋"/>
        </w:rPr>
        <w:drawing>
          <wp:inline distT="0" distB="0" distL="0" distR="0">
            <wp:extent cx="5274310" cy="127381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1273810"/>
                    </a:xfrm>
                    <a:prstGeom prst="rect">
                      <a:avLst/>
                    </a:prstGeom>
                  </pic:spPr>
                </pic:pic>
              </a:graphicData>
            </a:graphic>
          </wp:inline>
        </w:drawing>
      </w:r>
    </w:p>
    <w:p>
      <w:pPr>
        <w:ind w:firstLine="0" w:firstLineChars="0"/>
        <w:jc w:val="center"/>
        <w:rPr>
          <w:rFonts w:ascii="仿宋" w:hAnsi="仿宋" w:eastAsia="仿宋"/>
        </w:rPr>
      </w:pPr>
      <w:r>
        <w:rPr>
          <w:rFonts w:hint="eastAsia" w:ascii="仿宋" w:hAnsi="仿宋" w:eastAsia="仿宋"/>
        </w:rPr>
        <w:t>图3.3 支付标记化申请流程</w:t>
      </w:r>
    </w:p>
    <w:p>
      <w:pPr>
        <w:ind w:firstLine="480"/>
        <w:rPr>
          <w:rFonts w:ascii="仿宋" w:hAnsi="仿宋" w:eastAsia="仿宋"/>
        </w:rPr>
      </w:pPr>
      <w:r>
        <w:rPr>
          <w:rFonts w:hint="eastAsia" w:ascii="仿宋" w:hAnsi="仿宋" w:eastAsia="仿宋"/>
        </w:rPr>
        <w:t>标记申请流程如下：</w:t>
      </w:r>
    </w:p>
    <w:p>
      <w:pPr>
        <w:ind w:firstLine="480"/>
        <w:rPr>
          <w:rFonts w:ascii="仿宋" w:hAnsi="仿宋" w:eastAsia="仿宋"/>
        </w:rPr>
      </w:pPr>
      <w:r>
        <w:rPr>
          <w:rFonts w:ascii="仿宋" w:hAnsi="仿宋" w:eastAsia="仿宋"/>
        </w:rPr>
        <w:t xml:space="preserve">1) </w:t>
      </w:r>
      <w:r>
        <w:rPr>
          <w:rFonts w:ascii="Calibri" w:hAnsi="Calibri" w:eastAsia="仿宋" w:cs="Calibri"/>
        </w:rPr>
        <w:t> </w:t>
      </w:r>
      <w:r>
        <w:rPr>
          <w:rFonts w:ascii="仿宋" w:hAnsi="仿宋" w:eastAsia="仿宋"/>
        </w:rPr>
        <w:t>支付数据标记化的过程对持卡人而言是一个绑卡的操作，需要用户在商户或者支付服务商的页面提交账户信息; 在用户绑卡时，采集用户账户信息的主体可作为标记请求方向标记服务提供方申请支付标记</w:t>
      </w:r>
      <w:r>
        <w:rPr>
          <w:rFonts w:hint="eastAsia" w:ascii="仿宋" w:hAnsi="仿宋" w:eastAsia="仿宋"/>
        </w:rPr>
        <w:t>；</w:t>
      </w:r>
    </w:p>
    <w:p>
      <w:pPr>
        <w:ind w:firstLine="480"/>
        <w:rPr>
          <w:rFonts w:ascii="仿宋" w:hAnsi="仿宋" w:eastAsia="仿宋"/>
        </w:rPr>
      </w:pPr>
      <w:r>
        <w:rPr>
          <w:rFonts w:ascii="仿宋" w:hAnsi="仿宋" w:eastAsia="仿宋"/>
        </w:rPr>
        <w:t xml:space="preserve">2) </w:t>
      </w:r>
      <w:r>
        <w:rPr>
          <w:rFonts w:ascii="Calibri" w:hAnsi="Calibri" w:eastAsia="仿宋" w:cs="Calibri"/>
        </w:rPr>
        <w:t> </w:t>
      </w:r>
      <w:r>
        <w:rPr>
          <w:rFonts w:ascii="仿宋" w:hAnsi="仿宋" w:eastAsia="仿宋"/>
        </w:rPr>
        <w:t>由支付标记请求方(商户或支付服务商)向标记服务提供方申请Token；</w:t>
      </w:r>
    </w:p>
    <w:p>
      <w:pPr>
        <w:ind w:firstLine="480"/>
        <w:rPr>
          <w:rFonts w:ascii="仿宋" w:hAnsi="仿宋" w:eastAsia="仿宋"/>
        </w:rPr>
      </w:pPr>
      <w:r>
        <w:rPr>
          <w:rFonts w:ascii="仿宋" w:hAnsi="仿宋" w:eastAsia="仿宋"/>
        </w:rPr>
        <w:t xml:space="preserve">3) </w:t>
      </w:r>
      <w:r>
        <w:rPr>
          <w:rFonts w:ascii="Calibri" w:hAnsi="Calibri" w:eastAsia="仿宋" w:cs="Calibri"/>
        </w:rPr>
        <w:t> </w:t>
      </w:r>
      <w:r>
        <w:rPr>
          <w:rFonts w:ascii="仿宋" w:hAnsi="仿宋" w:eastAsia="仿宋"/>
        </w:rPr>
        <w:t>标记服务提供方在收到标记申请时，需要与发卡机构共同验证持卡人的身份信息以及部分附加信息</w:t>
      </w:r>
      <w:r>
        <w:rPr>
          <w:rFonts w:hint="eastAsia" w:ascii="仿宋" w:hAnsi="仿宋" w:eastAsia="仿宋"/>
        </w:rPr>
        <w:t>；</w:t>
      </w:r>
      <w:r>
        <w:rPr>
          <w:rFonts w:hint="eastAsia" w:ascii="MS Gothic" w:hAnsi="MS Gothic" w:eastAsia="MS Gothic" w:cs="MS Gothic"/>
        </w:rPr>
        <w:t> </w:t>
      </w:r>
    </w:p>
    <w:p>
      <w:pPr>
        <w:ind w:firstLine="480"/>
        <w:rPr>
          <w:rFonts w:ascii="仿宋" w:hAnsi="仿宋" w:eastAsia="仿宋"/>
        </w:rPr>
      </w:pPr>
      <w:r>
        <w:rPr>
          <w:rFonts w:ascii="仿宋" w:hAnsi="仿宋" w:eastAsia="仿宋"/>
        </w:rPr>
        <w:t xml:space="preserve">4) </w:t>
      </w:r>
      <w:r>
        <w:rPr>
          <w:rFonts w:ascii="Calibri" w:hAnsi="Calibri" w:eastAsia="仿宋" w:cs="Calibri"/>
        </w:rPr>
        <w:t> </w:t>
      </w:r>
      <w:r>
        <w:rPr>
          <w:rFonts w:ascii="仿宋" w:hAnsi="仿宋" w:eastAsia="仿宋"/>
        </w:rPr>
        <w:t>在完成账户验证之后，标记服务提供方生成 Token，并下发给标记请求方。</w:t>
      </w:r>
    </w:p>
    <w:p>
      <w:pPr>
        <w:ind w:firstLine="480"/>
        <w:rPr>
          <w:rFonts w:hint="eastAsia"/>
        </w:rPr>
      </w:pPr>
    </w:p>
    <w:p>
      <w:pPr>
        <w:pStyle w:val="3"/>
        <w:rPr>
          <w:rFonts w:ascii="仿宋" w:hAnsi="仿宋" w:eastAsia="仿宋"/>
          <w:sz w:val="30"/>
          <w:szCs w:val="30"/>
        </w:rPr>
      </w:pPr>
      <w:r>
        <w:rPr>
          <w:rFonts w:hint="eastAsia" w:ascii="仿宋" w:hAnsi="仿宋" w:eastAsia="仿宋"/>
          <w:sz w:val="30"/>
          <w:szCs w:val="30"/>
        </w:rPr>
        <w:t>3.4标记交易流程</w:t>
      </w:r>
    </w:p>
    <w:p>
      <w:pPr>
        <w:ind w:firstLine="0" w:firstLineChars="0"/>
        <w:jc w:val="center"/>
      </w:pPr>
      <w:r>
        <w:drawing>
          <wp:inline distT="0" distB="0" distL="0" distR="0">
            <wp:extent cx="5274310" cy="2327275"/>
            <wp:effectExtent l="0" t="0" r="889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2327275"/>
                    </a:xfrm>
                    <a:prstGeom prst="rect">
                      <a:avLst/>
                    </a:prstGeom>
                  </pic:spPr>
                </pic:pic>
              </a:graphicData>
            </a:graphic>
          </wp:inline>
        </w:drawing>
      </w:r>
    </w:p>
    <w:p>
      <w:pPr>
        <w:ind w:firstLine="0" w:firstLineChars="0"/>
        <w:jc w:val="center"/>
        <w:rPr>
          <w:rFonts w:ascii="仿宋" w:hAnsi="仿宋" w:eastAsia="仿宋"/>
        </w:rPr>
      </w:pPr>
      <w:r>
        <w:rPr>
          <w:rFonts w:hint="eastAsia" w:ascii="仿宋" w:hAnsi="仿宋" w:eastAsia="仿宋"/>
        </w:rPr>
        <w:t>图3.4 支付标记化交易流程</w:t>
      </w:r>
    </w:p>
    <w:p>
      <w:pPr>
        <w:ind w:firstLine="0" w:firstLineChars="0"/>
        <w:jc w:val="center"/>
        <w:rPr>
          <w:rFonts w:ascii="仿宋" w:hAnsi="仿宋" w:eastAsia="仿宋"/>
        </w:rPr>
      </w:pPr>
    </w:p>
    <w:p>
      <w:pPr>
        <w:ind w:firstLine="480"/>
        <w:rPr>
          <w:rFonts w:ascii="仿宋" w:hAnsi="仿宋" w:eastAsia="仿宋"/>
        </w:rPr>
      </w:pPr>
      <w:r>
        <w:rPr>
          <w:rFonts w:ascii="仿宋" w:hAnsi="仿宋" w:eastAsia="仿宋"/>
        </w:rPr>
        <w:t xml:space="preserve">支付标记化交易的处理流程与现有基于主账号的交易处理流程完全一致，仅在去标记化操作时需要支付标记服务提供方完成支付标记的交易验证和还原卡号操作。而支付标记的交易路由与主账号的交易路由一致，均是由转接组织根据BIN表来进行路由控制以及交易分发。TSP作为支付标记服务提供方的处理系统，完成支付标记化与原始卡号的转换操作。 </w:t>
      </w:r>
    </w:p>
    <w:p>
      <w:pPr>
        <w:pStyle w:val="8"/>
        <w:rPr>
          <w:rFonts w:ascii="仿宋" w:hAnsi="仿宋"/>
        </w:rPr>
      </w:pPr>
      <w:r>
        <w:rPr>
          <w:rFonts w:ascii="仿宋" w:hAnsi="仿宋"/>
        </w:rPr>
        <w:t xml:space="preserve">4 </w:t>
      </w:r>
      <w:r>
        <w:rPr>
          <w:rFonts w:hint="eastAsia" w:ascii="仿宋" w:hAnsi="仿宋"/>
        </w:rPr>
        <w:t>应用模式</w:t>
      </w:r>
    </w:p>
    <w:p>
      <w:pPr>
        <w:pStyle w:val="3"/>
        <w:rPr>
          <w:rFonts w:ascii="仿宋" w:hAnsi="仿宋" w:eastAsia="仿宋"/>
          <w:sz w:val="30"/>
          <w:szCs w:val="30"/>
        </w:rPr>
      </w:pPr>
      <w:r>
        <w:rPr>
          <w:rFonts w:hint="eastAsia" w:ascii="仿宋" w:hAnsi="仿宋" w:eastAsia="仿宋"/>
          <w:sz w:val="30"/>
          <w:szCs w:val="30"/>
        </w:rPr>
        <w:t>4.1四种支付模式</w:t>
      </w:r>
    </w:p>
    <w:p>
      <w:pPr>
        <w:ind w:firstLine="0" w:firstLineChars="0"/>
        <w:rPr>
          <w:rFonts w:ascii="仿宋" w:hAnsi="仿宋" w:eastAsia="仿宋"/>
        </w:rPr>
      </w:pPr>
      <w:r>
        <w:rPr>
          <w:rFonts w:hint="eastAsia" w:ascii="仿宋" w:hAnsi="仿宋" w:eastAsia="仿宋"/>
        </w:rPr>
        <w:t>（1）大商户支付模式</w:t>
      </w:r>
    </w:p>
    <w:p>
      <w:pPr>
        <w:ind w:firstLine="0" w:firstLineChars="0"/>
        <w:rPr>
          <w:rFonts w:ascii="仿宋" w:hAnsi="仿宋" w:eastAsia="仿宋"/>
        </w:rPr>
      </w:pPr>
      <w:r>
        <w:rPr>
          <w:rFonts w:hint="eastAsia" w:ascii="仿宋" w:hAnsi="仿宋" w:eastAsia="仿宋"/>
        </w:rPr>
        <w:drawing>
          <wp:inline distT="0" distB="0" distL="0" distR="0">
            <wp:extent cx="5274310" cy="1788160"/>
            <wp:effectExtent l="0" t="0" r="8890" b="0"/>
            <wp:docPr id="20" name="图片 20" desc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esktop/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788160"/>
                    </a:xfrm>
                    <a:prstGeom prst="rect">
                      <a:avLst/>
                    </a:prstGeom>
                    <a:noFill/>
                    <a:ln>
                      <a:noFill/>
                    </a:ln>
                  </pic:spPr>
                </pic:pic>
              </a:graphicData>
            </a:graphic>
          </wp:inline>
        </w:drawing>
      </w:r>
    </w:p>
    <w:p>
      <w:pPr>
        <w:ind w:firstLine="0" w:firstLineChars="0"/>
        <w:jc w:val="center"/>
        <w:rPr>
          <w:rFonts w:ascii="仿宋" w:hAnsi="仿宋" w:eastAsia="仿宋"/>
        </w:rPr>
      </w:pPr>
      <w:r>
        <w:rPr>
          <w:rFonts w:hint="eastAsia" w:ascii="仿宋" w:hAnsi="仿宋" w:eastAsia="仿宋"/>
        </w:rPr>
        <w:t>图4.1 大商户支付模式框架图</w:t>
      </w:r>
    </w:p>
    <w:p>
      <w:pPr>
        <w:ind w:firstLine="480"/>
        <w:rPr>
          <w:rFonts w:ascii="仿宋" w:hAnsi="仿宋" w:eastAsia="仿宋"/>
        </w:rPr>
      </w:pPr>
      <w:r>
        <w:rPr>
          <w:rFonts w:ascii="仿宋" w:hAnsi="仿宋" w:eastAsia="仿宋"/>
        </w:rPr>
        <w:t xml:space="preserve">大商户支付模式下，目前商户需要在数据库中存储持卡人的主账号、有效期等敏感信息，以便在后续交易中减少持卡人重复输入账户信息的操作。由于存储卡片数据中可能会导致商户系统被攻击、泄露敏感信息等安全事件。采用支付标记化方案后，商户可以通过支付标记来替换主账号PAN信息，且该支付标记可限定在该商户下单独使用，从而消除相应的风险。该应用场景中，商户很可能是标记请求方。一旦标记被返回给这些留存卡号信息的商户，所有后续的电子商务交易都会使用标记和标记有效期 (而不是主账号和主账号的有效期)字段来处理。 </w:t>
      </w:r>
    </w:p>
    <w:p>
      <w:pPr>
        <w:ind w:firstLine="0" w:firstLineChars="0"/>
        <w:rPr>
          <w:rFonts w:ascii="仿宋" w:hAnsi="仿宋" w:eastAsia="仿宋"/>
        </w:rPr>
      </w:pPr>
      <w:r>
        <w:rPr>
          <w:rFonts w:hint="eastAsia" w:ascii="仿宋" w:hAnsi="仿宋" w:eastAsia="仿宋"/>
        </w:rPr>
        <w:t>（2）数字钱包支付模式</w:t>
      </w:r>
    </w:p>
    <w:p>
      <w:pPr>
        <w:ind w:firstLine="0" w:firstLineChars="0"/>
        <w:rPr>
          <w:rFonts w:ascii="仿宋" w:hAnsi="仿宋" w:eastAsia="仿宋"/>
        </w:rPr>
      </w:pPr>
      <w:r>
        <w:rPr>
          <w:rFonts w:hint="eastAsia" w:ascii="仿宋" w:hAnsi="仿宋" w:eastAsia="仿宋"/>
        </w:rPr>
        <w:drawing>
          <wp:inline distT="0" distB="0" distL="0" distR="0">
            <wp:extent cx="5270500" cy="1816100"/>
            <wp:effectExtent l="0" t="0" r="12700" b="12700"/>
            <wp:docPr id="22" name="图片 22" desc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esktop/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0500" cy="1816100"/>
                    </a:xfrm>
                    <a:prstGeom prst="rect">
                      <a:avLst/>
                    </a:prstGeom>
                    <a:noFill/>
                    <a:ln>
                      <a:noFill/>
                    </a:ln>
                  </pic:spPr>
                </pic:pic>
              </a:graphicData>
            </a:graphic>
          </wp:inline>
        </w:drawing>
      </w:r>
    </w:p>
    <w:p>
      <w:pPr>
        <w:ind w:firstLine="0" w:firstLineChars="0"/>
        <w:jc w:val="center"/>
        <w:rPr>
          <w:rFonts w:ascii="仿宋" w:hAnsi="仿宋" w:eastAsia="仿宋"/>
        </w:rPr>
      </w:pPr>
      <w:r>
        <w:rPr>
          <w:rFonts w:hint="eastAsia" w:ascii="仿宋" w:hAnsi="仿宋" w:eastAsia="仿宋"/>
        </w:rPr>
        <w:t>图4.2 数字钱包支付模式框架图</w:t>
      </w:r>
    </w:p>
    <w:p>
      <w:pPr>
        <w:ind w:firstLine="480"/>
        <w:rPr>
          <w:rFonts w:ascii="仿宋" w:hAnsi="仿宋" w:eastAsia="仿宋"/>
        </w:rPr>
      </w:pPr>
      <w:r>
        <w:rPr>
          <w:rFonts w:ascii="仿宋" w:hAnsi="仿宋" w:eastAsia="仿宋"/>
        </w:rPr>
        <w:t>在数字钱包支付中，持卡人在某个支持移动/数字钱包的电子商务网站发起支付请求，该数字钱包服务商可以由发卡机构、支付网络或第三方专业化机构运营</w:t>
      </w:r>
      <w:r>
        <w:rPr>
          <w:rFonts w:hint="eastAsia" w:ascii="仿宋" w:hAnsi="仿宋" w:eastAsia="仿宋"/>
        </w:rPr>
        <w:t>；</w:t>
      </w:r>
      <w:r>
        <w:rPr>
          <w:rFonts w:ascii="仿宋" w:hAnsi="仿宋" w:eastAsia="仿宋"/>
        </w:rPr>
        <w:t xml:space="preserve">一般情况下数字钱包运营商作为标记请求方申请支付标记。在此应用场景中，钱包运营商出于安全的考虑或者业务的需要，使用支付标记替代主账号，从而不再需要将主账号存储在钱包平台中。另外，在支付标记发行及其生命周期内，通过使用数字钱包用户的信息可以提高身份认证的准确性。 </w:t>
      </w:r>
    </w:p>
    <w:p>
      <w:pPr>
        <w:ind w:firstLine="0" w:firstLineChars="0"/>
        <w:rPr>
          <w:rFonts w:ascii="仿宋" w:hAnsi="仿宋" w:eastAsia="仿宋"/>
        </w:rPr>
      </w:pPr>
      <w:r>
        <w:rPr>
          <w:rFonts w:hint="eastAsia" w:ascii="仿宋" w:hAnsi="仿宋" w:eastAsia="仿宋"/>
        </w:rPr>
        <w:t>（3）二维码支付模式</w:t>
      </w:r>
    </w:p>
    <w:p>
      <w:pPr>
        <w:ind w:firstLine="0" w:firstLineChars="0"/>
        <w:rPr>
          <w:rFonts w:ascii="仿宋" w:hAnsi="仿宋" w:eastAsia="仿宋"/>
        </w:rPr>
      </w:pPr>
      <w:r>
        <w:rPr>
          <w:rFonts w:ascii="仿宋" w:hAnsi="仿宋" w:eastAsia="仿宋"/>
        </w:rPr>
        <w:drawing>
          <wp:inline distT="0" distB="0" distL="0" distR="0">
            <wp:extent cx="5274310" cy="186118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74310" cy="1861185"/>
                    </a:xfrm>
                    <a:prstGeom prst="rect">
                      <a:avLst/>
                    </a:prstGeom>
                  </pic:spPr>
                </pic:pic>
              </a:graphicData>
            </a:graphic>
          </wp:inline>
        </w:drawing>
      </w:r>
    </w:p>
    <w:p>
      <w:pPr>
        <w:ind w:firstLine="0" w:firstLineChars="0"/>
        <w:jc w:val="center"/>
        <w:rPr>
          <w:rFonts w:ascii="仿宋" w:hAnsi="仿宋" w:eastAsia="仿宋"/>
        </w:rPr>
      </w:pPr>
      <w:r>
        <w:rPr>
          <w:rFonts w:hint="eastAsia" w:ascii="仿宋" w:hAnsi="仿宋" w:eastAsia="仿宋"/>
        </w:rPr>
        <w:t>图4.3 二维码支付模式框架图</w:t>
      </w:r>
    </w:p>
    <w:p>
      <w:pPr>
        <w:ind w:firstLine="480"/>
        <w:rPr>
          <w:rFonts w:ascii="仿宋" w:hAnsi="仿宋" w:eastAsia="仿宋"/>
        </w:rPr>
      </w:pPr>
      <w:r>
        <w:rPr>
          <w:rFonts w:ascii="仿宋" w:hAnsi="仿宋" w:eastAsia="仿宋"/>
        </w:rPr>
        <w:t>作为支付创新的一种，二维码支付为用户、商户带来快捷支付体验的同时，但由于二维码易复制、安全性弱等特点使其存在一定的风险。而通过支付标记同样可以将敏感信息进行替代，从而确保支付的安全。在该应用场景中，移动设备上的应用程序以安全的方式，生成一个含有支付标记</w:t>
      </w:r>
      <w:r>
        <w:rPr>
          <w:rFonts w:hint="eastAsia" w:ascii="仿宋" w:hAnsi="仿宋" w:eastAsia="仿宋"/>
        </w:rPr>
        <w:t>，</w:t>
      </w:r>
      <w:r>
        <w:rPr>
          <w:rFonts w:ascii="仿宋" w:hAnsi="仿宋" w:eastAsia="仿宋"/>
        </w:rPr>
        <w:t>标记有效期以及其它来自于二维码的数据(如交易token密文，指保护token数据的校验 码)，该支付标记(图</w:t>
      </w:r>
      <w:r>
        <w:rPr>
          <w:rFonts w:hint="eastAsia" w:ascii="仿宋" w:hAnsi="仿宋" w:eastAsia="仿宋"/>
        </w:rPr>
        <w:t>4.3</w:t>
      </w:r>
      <w:r>
        <w:rPr>
          <w:rFonts w:ascii="仿宋" w:hAnsi="仿宋" w:eastAsia="仿宋"/>
        </w:rPr>
        <w:t>中的交易token)被限定为一次有效，且有效时间也被严格控制。交易时，二维码数据被商户的终端读取，并由商户端向后台发起交易授权请求。</w:t>
      </w:r>
    </w:p>
    <w:p>
      <w:pPr>
        <w:ind w:firstLine="0" w:firstLineChars="0"/>
        <w:rPr>
          <w:rFonts w:ascii="仿宋" w:hAnsi="仿宋" w:eastAsia="仿宋"/>
        </w:rPr>
      </w:pPr>
      <w:r>
        <w:rPr>
          <w:rFonts w:hint="eastAsia" w:ascii="仿宋" w:hAnsi="仿宋" w:eastAsia="仿宋"/>
        </w:rPr>
        <w:t>（4）NFC支付模式</w:t>
      </w:r>
    </w:p>
    <w:p>
      <w:pPr>
        <w:ind w:firstLine="0" w:firstLineChars="0"/>
        <w:rPr>
          <w:rFonts w:ascii="仿宋" w:hAnsi="仿宋" w:eastAsia="仿宋"/>
        </w:rPr>
      </w:pPr>
      <w:r>
        <w:rPr>
          <w:rFonts w:ascii="仿宋" w:hAnsi="仿宋" w:eastAsia="仿宋"/>
        </w:rPr>
        <w:drawing>
          <wp:inline distT="0" distB="0" distL="0" distR="0">
            <wp:extent cx="5274310" cy="181356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4310" cy="1813560"/>
                    </a:xfrm>
                    <a:prstGeom prst="rect">
                      <a:avLst/>
                    </a:prstGeom>
                  </pic:spPr>
                </pic:pic>
              </a:graphicData>
            </a:graphic>
          </wp:inline>
        </w:drawing>
      </w:r>
    </w:p>
    <w:p>
      <w:pPr>
        <w:ind w:firstLine="0" w:firstLineChars="0"/>
        <w:jc w:val="center"/>
        <w:rPr>
          <w:rFonts w:ascii="仿宋" w:hAnsi="仿宋" w:eastAsia="仿宋"/>
        </w:rPr>
      </w:pPr>
      <w:r>
        <w:rPr>
          <w:rFonts w:hint="eastAsia" w:ascii="仿宋" w:hAnsi="仿宋" w:eastAsia="仿宋"/>
        </w:rPr>
        <w:t>图4.4 NFC支付模式框架图</w:t>
      </w:r>
    </w:p>
    <w:p>
      <w:pPr>
        <w:ind w:firstLine="480"/>
      </w:pPr>
      <w:r>
        <w:rPr>
          <w:rFonts w:ascii="仿宋" w:hAnsi="仿宋" w:eastAsia="仿宋"/>
        </w:rPr>
        <w:t>在此应用场景中，支付标记可能存储在一个具有NFC功能的移动设备SE 中(如Apple Pay模式)或在一个远端的安全服务器上(如HCE模式)。以HCE为例，支付标记是在用户首次进行绑卡时，由HCE支付服务商系统向标记服务提供方申请标记。发起交易时，移动设备(或本地SE环境内获取或由远端服务器下发)与POS终端交互，将一个含有标记、标记有效期、标记密文以及其他芯片数据元素的报文通过非接通讯方式完成数据交换，并在现有的支付网络中完成交易的授权操作。</w:t>
      </w:r>
      <w:r>
        <w:t xml:space="preserve"> </w:t>
      </w:r>
    </w:p>
    <w:p>
      <w:pPr>
        <w:ind w:firstLine="480"/>
      </w:pPr>
    </w:p>
    <w:p>
      <w:pPr>
        <w:pStyle w:val="3"/>
        <w:rPr>
          <w:rFonts w:ascii="仿宋" w:hAnsi="仿宋" w:eastAsia="仿宋"/>
          <w:sz w:val="30"/>
          <w:szCs w:val="30"/>
        </w:rPr>
      </w:pPr>
      <w:r>
        <w:rPr>
          <w:rFonts w:hint="eastAsia" w:ascii="仿宋" w:hAnsi="仿宋" w:eastAsia="仿宋"/>
          <w:sz w:val="30"/>
          <w:szCs w:val="30"/>
        </w:rPr>
        <w:t>4.2苹果支付（Apple Pay）应用模式</w:t>
      </w:r>
    </w:p>
    <w:p>
      <w:pPr>
        <w:ind w:firstLine="480"/>
        <w:rPr>
          <w:rFonts w:ascii="仿宋" w:hAnsi="仿宋" w:eastAsia="仿宋"/>
        </w:rPr>
      </w:pPr>
      <w:r>
        <w:rPr>
          <w:rFonts w:ascii="仿宋" w:hAnsi="仿宋" w:eastAsia="仿宋"/>
        </w:rPr>
        <w:t>2014年9月9日，苹果公司在发布会上提出了新的支付方式Apple Pay。Apple Pay由NFC近场通信技术、Touch ID指纹识别、安全控件以及Passbook(电子票券管理工具)组成，使用时只须手指按在 home键的指纹识别上，手机靠近支付POS终端，即可完成支付。</w:t>
      </w:r>
    </w:p>
    <w:p>
      <w:pPr>
        <w:ind w:firstLine="480"/>
        <w:rPr>
          <w:rFonts w:ascii="仿宋" w:hAnsi="仿宋" w:eastAsia="仿宋"/>
        </w:rPr>
      </w:pPr>
      <w:r>
        <w:rPr>
          <w:rFonts w:ascii="仿宋" w:hAnsi="仿宋" w:eastAsia="仿宋"/>
        </w:rPr>
        <w:t>想使用Apple Pay，首先要绑定信用卡，在iPhone输入信用卡信息，Apple Pay把信用卡信息发送到卡组织处验证，卡组织验证通过后，会为这张信用卡生成一个Token，并将Token发送到Apple Pay，Apple Pay再把这个加密的Token发送到iPhone。iPhone上不直接存储信用卡信息，而是将Token存放在iPhone中的独立安全芯片中 (SE芯片)，用它代替信用卡的卡号，可以理解为Token和信用卡的卡号等价，但即使Token泄漏，也无法逆向还原出信用卡信息。Token的格式其实是一个16位字符串，它与传统POS机协议里的格式是兼容的，这意味着Apple Pay兼容整个传统信用卡支付网络。无论是刷信用卡，还是用Apple</w:t>
      </w:r>
      <w:r>
        <w:rPr>
          <w:rFonts w:hint="eastAsia" w:ascii="仿宋" w:hAnsi="仿宋" w:eastAsia="仿宋"/>
        </w:rPr>
        <w:t xml:space="preserve"> </w:t>
      </w:r>
      <w:r>
        <w:rPr>
          <w:rFonts w:ascii="仿宋" w:hAnsi="仿宋" w:eastAsia="仿宋"/>
        </w:rPr>
        <w:t xml:space="preserve">Pay，在整个传统支付体系中都是透明的。在使用时，还有关键一环“Touch ID”，只有指纹认证通过的时候，iPhone才允许利用NFC读取Token出来。 </w:t>
      </w:r>
    </w:p>
    <w:p>
      <w:pPr>
        <w:ind w:firstLine="480"/>
        <w:rPr>
          <w:rFonts w:ascii="仿宋" w:hAnsi="仿宋" w:eastAsia="仿宋"/>
        </w:rPr>
      </w:pPr>
      <w:r>
        <w:rPr>
          <w:rFonts w:ascii="仿宋" w:hAnsi="仿宋" w:eastAsia="仿宋"/>
        </w:rPr>
        <w:t>Apple Pay可以看作是基于Token技术的典型应用，在这个新型的支付模式中有几个新的参与方使得这种模式的推广充满新的机遇。TSP</w:t>
      </w:r>
      <w:r>
        <w:rPr>
          <w:rFonts w:hint="eastAsia" w:ascii="仿宋" w:hAnsi="仿宋" w:eastAsia="仿宋"/>
        </w:rPr>
        <w:t>（</w:t>
      </w:r>
      <w:r>
        <w:rPr>
          <w:rFonts w:ascii="仿宋" w:hAnsi="仿宋" w:eastAsia="仿宋"/>
        </w:rPr>
        <w:t>Token服务方</w:t>
      </w:r>
      <w:r>
        <w:rPr>
          <w:rFonts w:hint="eastAsia" w:ascii="仿宋" w:hAnsi="仿宋" w:eastAsia="仿宋"/>
        </w:rPr>
        <w:t>）</w:t>
      </w:r>
      <w:r>
        <w:rPr>
          <w:rFonts w:ascii="仿宋" w:hAnsi="仿宋" w:eastAsia="仿宋"/>
        </w:rPr>
        <w:t>根据TR</w:t>
      </w:r>
      <w:r>
        <w:rPr>
          <w:rFonts w:hint="eastAsia" w:ascii="仿宋" w:hAnsi="仿宋" w:eastAsia="仿宋"/>
        </w:rPr>
        <w:t>（</w:t>
      </w:r>
      <w:r>
        <w:rPr>
          <w:rFonts w:ascii="仿宋" w:hAnsi="仿宋" w:eastAsia="仿宋"/>
        </w:rPr>
        <w:t>Token申请方</w:t>
      </w:r>
      <w:r>
        <w:rPr>
          <w:rFonts w:hint="eastAsia" w:ascii="仿宋" w:hAnsi="仿宋" w:eastAsia="仿宋"/>
        </w:rPr>
        <w:t>）</w:t>
      </w:r>
      <w:r>
        <w:rPr>
          <w:rFonts w:ascii="仿宋" w:hAnsi="仿宋" w:eastAsia="仿宋"/>
        </w:rPr>
        <w:t xml:space="preserve">提供的用户主账号(PAN)与发卡行协商生成Token后，将Token作为PAN的替代值，流转在支付的各个环节，使得在支付流程中独一无二的PAN只在TSP、转接方、发卡方之间传递，由于三者专线连接且彼此互信，且当Token被检测到风险或到期时，将再次生成新Token替代，从而大幅降低支付过程中PAN泄漏的可能性，极大地提高了PAN的安全性。 </w:t>
      </w:r>
    </w:p>
    <w:p>
      <w:pPr>
        <w:ind w:firstLine="480"/>
        <w:rPr>
          <w:rFonts w:ascii="仿宋" w:hAnsi="仿宋" w:eastAsia="仿宋"/>
        </w:rPr>
      </w:pPr>
      <w:r>
        <w:rPr>
          <w:rFonts w:ascii="仿宋" w:hAnsi="仿宋" w:eastAsia="仿宋"/>
        </w:rPr>
        <w:t xml:space="preserve">由此可以得出，Apple Pay本质上还是一种联机刷卡的解决方案，没有改变传统的支付模式，虽然支付过程参与方增加，但增加的参与方仍是之前的各方，所做的改变是增加了安全保障和提升了用户体验，利益方并没有大的改变，对于使用者来说，这种改变是安全和高科技带来的便捷。 </w:t>
      </w:r>
    </w:p>
    <w:p>
      <w:pPr>
        <w:widowControl/>
        <w:autoSpaceDE w:val="0"/>
        <w:autoSpaceDN w:val="0"/>
        <w:adjustRightInd w:val="0"/>
        <w:spacing w:after="240" w:line="280" w:lineRule="atLeast"/>
        <w:ind w:firstLine="0" w:firstLineChars="0"/>
        <w:rPr>
          <w:rFonts w:ascii="Times" w:hAnsi="Times" w:cs="Times" w:eastAsiaTheme="minorEastAsia"/>
          <w:color w:val="000000"/>
          <w:kern w:val="0"/>
        </w:rPr>
      </w:pPr>
    </w:p>
    <w:p>
      <w:pPr>
        <w:pStyle w:val="3"/>
        <w:rPr>
          <w:rFonts w:ascii="仿宋" w:hAnsi="仿宋" w:eastAsia="仿宋"/>
          <w:sz w:val="30"/>
          <w:szCs w:val="30"/>
        </w:rPr>
      </w:pPr>
      <w:r>
        <w:rPr>
          <w:rFonts w:hint="eastAsia" w:ascii="仿宋" w:hAnsi="仿宋" w:eastAsia="仿宋"/>
          <w:sz w:val="30"/>
          <w:szCs w:val="30"/>
        </w:rPr>
        <w:t>4.3Android平台的HCE技术与Token应用</w:t>
      </w:r>
    </w:p>
    <w:p>
      <w:pPr>
        <w:ind w:firstLine="480"/>
        <w:rPr>
          <w:rFonts w:ascii="仿宋" w:hAnsi="仿宋" w:eastAsia="仿宋"/>
        </w:rPr>
      </w:pPr>
      <w:r>
        <w:rPr>
          <w:rFonts w:ascii="仿宋" w:hAnsi="仿宋" w:eastAsia="仿宋"/>
        </w:rPr>
        <w:t xml:space="preserve">2013年Google公司发布了Android 4.4 KitKat版本，新增一种系统服务HCE技术，即基于主机的卡仿真 (Host-based Card Emulation)，这是一种以App或云端实现安全认证的NFC接口，可以取代基于SWP协议的NFC应用，改变了必须使用电信运营商SIM卡作为SE的模式。 </w:t>
      </w:r>
    </w:p>
    <w:p>
      <w:pPr>
        <w:ind w:firstLine="480"/>
        <w:rPr>
          <w:rFonts w:ascii="仿宋" w:hAnsi="仿宋" w:eastAsia="仿宋"/>
        </w:rPr>
      </w:pPr>
      <w:r>
        <w:rPr>
          <w:rFonts w:ascii="仿宋" w:hAnsi="仿宋" w:eastAsia="仿宋"/>
        </w:rPr>
        <w:t xml:space="preserve">在国内智能手机领域，Android平台是首屈一指的，Token技术是否适用 Android平台呢?接下来我们以高安全度的HCE云端认证方式来探讨Token技术的应用。 </w:t>
      </w:r>
    </w:p>
    <w:p>
      <w:pPr>
        <w:ind w:firstLine="480"/>
        <w:rPr>
          <w:rFonts w:ascii="仿宋" w:hAnsi="仿宋" w:eastAsia="仿宋"/>
        </w:rPr>
      </w:pPr>
      <w:r>
        <w:rPr>
          <w:rFonts w:ascii="仿宋" w:hAnsi="仿宋" w:eastAsia="仿宋"/>
        </w:rPr>
        <w:t xml:space="preserve">HCE模式的支付系统由手机端App、TSP(Token ServiceProvider，Token服务方)、TSM (TrustedService Manager，可信服务管理)、发卡行、商户等几部分组成，核心是手机端App和TSP、TSM间的安全通讯。这个过程可以由非对称密钥体系来保护。非对称密钥体系可以采用国密算法SM9，手机端和TSP端采用指定公钥的方式生成密钥对，其中公钥包含了三个部分:用户密码、随机数和 IMEI(International Mobile Equipment Identity，移动设备国际识别码)。 </w:t>
      </w:r>
    </w:p>
    <w:p>
      <w:pPr>
        <w:ind w:firstLine="480"/>
        <w:rPr>
          <w:rFonts w:ascii="仿宋" w:hAnsi="仿宋" w:eastAsia="仿宋"/>
        </w:rPr>
      </w:pPr>
      <w:r>
        <w:rPr>
          <w:rFonts w:ascii="仿宋" w:hAnsi="仿宋" w:eastAsia="仿宋"/>
        </w:rPr>
        <w:t xml:space="preserve">交易过程中的数据采用加密通讯，加密密钥由TSP端每次随机生成，使用公钥加密后传递给手机App，由手机App解密后在内存中暂存。Token由私钥加密后保存在App的安全域(SandBox)中，在交易过程中，手机App不解密， 直接经由通讯加密密钥加密后传输给TSP。TSP使用通讯加密密钥解密后，再使用公钥解密获取Token原文，再将Token转换为用户信用卡卡号，由TSP通过专用网络与发卡行进行通讯，完成交易。TSP 获取到交易成功或失败的信息后，再将此信息经由加密通讯密钥加密传送给手机端，从而完成全部交易流程。 </w:t>
      </w:r>
    </w:p>
    <w:p>
      <w:pPr>
        <w:ind w:firstLine="480"/>
      </w:pPr>
      <w:r>
        <w:rPr>
          <w:rFonts w:ascii="仿宋" w:hAnsi="仿宋" w:eastAsia="仿宋"/>
        </w:rPr>
        <w:t>在这个交易过程中，NFC的安全脱离了电信运营商的SIM提供的SE，APP的安全认证由HCE在云端采用非对称密钥体系完成，Token保存在APP 中，Token的交换过程与Apple Pay相同，差别在于从手机中Token的获取过程，Apple Pay通过Touch ID来实现，而Android的HCE则由非对称密钥体系保护在云端完成，从使用的安全性来说相差不多，但从国内的金融环境和智能手机形态来说，这种方式即摆脱了电信运营商的限制，又极大的减化了安装部署的工作，提升了使用的便捷性。</w:t>
      </w:r>
      <w:r>
        <w:t xml:space="preserve"> </w:t>
      </w:r>
    </w:p>
    <w:p>
      <w:pPr>
        <w:pStyle w:val="8"/>
        <w:rPr>
          <w:rFonts w:ascii="仿宋" w:hAnsi="仿宋"/>
        </w:rPr>
      </w:pPr>
      <w:r>
        <w:rPr>
          <w:rFonts w:hint="eastAsia" w:ascii="仿宋" w:hAnsi="仿宋"/>
        </w:rPr>
        <w:t>5</w:t>
      </w:r>
      <w:r>
        <w:rPr>
          <w:rFonts w:ascii="仿宋" w:hAnsi="仿宋"/>
        </w:rPr>
        <w:t xml:space="preserve"> 小结</w:t>
      </w:r>
    </w:p>
    <w:p>
      <w:pPr>
        <w:ind w:firstLine="480"/>
        <w:rPr>
          <w:rFonts w:ascii="仿宋" w:hAnsi="仿宋" w:eastAsia="仿宋" w:cs="Times"/>
          <w:color w:val="000000"/>
          <w:kern w:val="0"/>
        </w:rPr>
      </w:pPr>
      <w:r>
        <w:rPr>
          <w:rFonts w:hint="eastAsia" w:ascii="仿宋" w:hAnsi="仿宋" w:eastAsia="仿宋"/>
        </w:rPr>
        <w:t>随着移动互联网的进一步发展，以及众多移动支付产品在全球范围内的加速推广，Token和Tokenization注定将频繁出现在业内外的关注焦点中，也必将与各类创新支付相结合。</w:t>
      </w:r>
      <w:r>
        <w:rPr>
          <w:rFonts w:ascii="仿宋" w:hAnsi="仿宋" w:eastAsia="仿宋"/>
        </w:rPr>
        <w:t>这一枚Token为移动支付产业描绘了一个更加美好的明天，也为监管部门以及银行卡组织提出了新的课题。如何建立完善一套开放、统一、公平、合理的技术标准与业务规则，以及认证检测体系，将</w:t>
      </w:r>
      <w:r>
        <w:rPr>
          <w:rFonts w:hint="eastAsia" w:ascii="仿宋" w:hAnsi="仿宋" w:eastAsia="仿宋"/>
        </w:rPr>
        <w:t>是下阶段产业各方需合力优化完善的重点。</w:t>
      </w:r>
    </w:p>
    <w:p>
      <w:pPr>
        <w:pStyle w:val="8"/>
      </w:pPr>
      <w:r>
        <w:t>参考文献</w:t>
      </w:r>
      <w:bookmarkEnd w:id="4"/>
    </w:p>
    <w:p>
      <w:pPr>
        <w:pStyle w:val="18"/>
        <w:ind w:firstLine="0" w:firstLineChars="0"/>
        <w:rPr>
          <w:rFonts w:ascii="仿宋" w:hAnsi="仿宋" w:eastAsia="仿宋"/>
        </w:rPr>
      </w:pPr>
      <w:r>
        <w:rPr>
          <w:rFonts w:ascii="仿宋" w:hAnsi="仿宋" w:eastAsia="仿宋"/>
        </w:rPr>
        <w:t>[</w:t>
      </w:r>
      <w:r>
        <w:rPr>
          <w:rFonts w:hint="eastAsia" w:ascii="仿宋" w:hAnsi="仿宋" w:eastAsia="仿宋"/>
        </w:rPr>
        <w:t>1</w:t>
      </w:r>
      <w:r>
        <w:rPr>
          <w:rFonts w:ascii="仿宋" w:hAnsi="仿宋" w:eastAsia="仿宋"/>
        </w:rPr>
        <w:t>]</w:t>
      </w:r>
      <w:r>
        <w:rPr>
          <w:rFonts w:hint="eastAsia" w:ascii="仿宋" w:hAnsi="仿宋" w:eastAsia="仿宋"/>
        </w:rPr>
        <w:t xml:space="preserve"> 中国银联股份有限公司. 中国银联支付标记化技术指引[M]. 2016.07. </w:t>
      </w:r>
    </w:p>
    <w:p>
      <w:pPr>
        <w:pStyle w:val="18"/>
        <w:ind w:firstLine="0" w:firstLineChars="0"/>
        <w:rPr>
          <w:rFonts w:ascii="仿宋" w:hAnsi="仿宋" w:eastAsia="仿宋"/>
        </w:rPr>
      </w:pPr>
      <w:r>
        <w:rPr>
          <w:rFonts w:ascii="仿宋" w:hAnsi="仿宋" w:eastAsia="仿宋"/>
        </w:rPr>
        <w:t>[2]</w:t>
      </w:r>
      <w:r>
        <w:rPr>
          <w:rFonts w:ascii="仿宋" w:hAnsi="仿宋" w:eastAsia="仿宋" w:cs="MS Mincho"/>
        </w:rPr>
        <w:t xml:space="preserve"> </w:t>
      </w:r>
      <w:r>
        <w:rPr>
          <w:rFonts w:ascii="仿宋" w:hAnsi="仿宋" w:eastAsia="仿宋"/>
        </w:rPr>
        <w:t>梁丽雯. 支付标记化技术:防盗防泄密利器[J]. 金融科技时代, 2016(8):84-84.</w:t>
      </w:r>
    </w:p>
    <w:p>
      <w:pPr>
        <w:pStyle w:val="18"/>
        <w:ind w:firstLine="0" w:firstLineChars="0"/>
        <w:rPr>
          <w:rFonts w:ascii="仿宋" w:hAnsi="仿宋" w:eastAsia="仿宋"/>
        </w:rPr>
      </w:pPr>
      <w:r>
        <w:rPr>
          <w:rFonts w:hint="eastAsia" w:ascii="仿宋" w:hAnsi="仿宋" w:eastAsia="仿宋"/>
        </w:rPr>
        <w:t>[3]</w:t>
      </w:r>
      <w:r>
        <w:rPr>
          <w:rFonts w:ascii="仿宋" w:hAnsi="仿宋" w:eastAsia="仿宋" w:cs="MS Mincho"/>
        </w:rPr>
        <w:t xml:space="preserve"> 周明</w:t>
      </w:r>
      <w:r>
        <w:rPr>
          <w:rFonts w:ascii="仿宋" w:hAnsi="仿宋" w:eastAsia="仿宋"/>
        </w:rPr>
        <w:t xml:space="preserve">. </w:t>
      </w:r>
      <w:r>
        <w:rPr>
          <w:rFonts w:ascii="仿宋" w:hAnsi="仿宋" w:eastAsia="仿宋" w:cs="MS Mincho"/>
        </w:rPr>
        <w:t>支付</w:t>
      </w:r>
      <w:r>
        <w:rPr>
          <w:rFonts w:ascii="仿宋" w:hAnsi="仿宋" w:eastAsia="仿宋" w:cs="宋体"/>
        </w:rPr>
        <w:t>标记</w:t>
      </w:r>
      <w:r>
        <w:rPr>
          <w:rFonts w:ascii="仿宋" w:hAnsi="仿宋" w:eastAsia="仿宋" w:cs="MS Mincho"/>
        </w:rPr>
        <w:t>化技</w:t>
      </w:r>
      <w:r>
        <w:rPr>
          <w:rFonts w:ascii="仿宋" w:hAnsi="仿宋" w:eastAsia="仿宋" w:cs="宋体"/>
        </w:rPr>
        <w:t>术</w:t>
      </w:r>
      <w:r>
        <w:rPr>
          <w:rFonts w:ascii="仿宋" w:hAnsi="仿宋" w:eastAsia="仿宋" w:cs="MS Mincho"/>
        </w:rPr>
        <w:t>解</w:t>
      </w:r>
      <w:r>
        <w:rPr>
          <w:rFonts w:ascii="仿宋" w:hAnsi="仿宋" w:eastAsia="仿宋" w:cs="宋体"/>
        </w:rPr>
        <w:t>读</w:t>
      </w:r>
      <w:r>
        <w:rPr>
          <w:rFonts w:ascii="仿宋" w:hAnsi="仿宋" w:eastAsia="仿宋"/>
        </w:rPr>
        <w:t xml:space="preserve">[J]. </w:t>
      </w:r>
      <w:r>
        <w:rPr>
          <w:rFonts w:ascii="仿宋" w:hAnsi="仿宋" w:eastAsia="仿宋" w:cs="MS Mincho"/>
        </w:rPr>
        <w:t>金卡工程</w:t>
      </w:r>
      <w:r>
        <w:rPr>
          <w:rFonts w:ascii="仿宋" w:hAnsi="仿宋" w:eastAsia="仿宋"/>
        </w:rPr>
        <w:t>, 2015(9):54-56.</w:t>
      </w:r>
    </w:p>
    <w:p>
      <w:pPr>
        <w:pStyle w:val="18"/>
        <w:ind w:firstLine="0" w:firstLineChars="0"/>
        <w:rPr>
          <w:rFonts w:ascii="仿宋" w:hAnsi="仿宋" w:eastAsia="仿宋"/>
        </w:rPr>
      </w:pPr>
      <w:r>
        <w:rPr>
          <w:rFonts w:hint="eastAsia" w:ascii="仿宋" w:hAnsi="仿宋" w:eastAsia="仿宋"/>
        </w:rPr>
        <w:t>[4]</w:t>
      </w:r>
      <w:r>
        <w:rPr>
          <w:rFonts w:ascii="仿宋" w:hAnsi="仿宋" w:eastAsia="仿宋" w:cs="宋体"/>
        </w:rPr>
        <w:t xml:space="preserve"> 赵懿</w:t>
      </w:r>
      <w:r>
        <w:rPr>
          <w:rFonts w:ascii="仿宋" w:hAnsi="仿宋" w:eastAsia="仿宋"/>
        </w:rPr>
        <w:t xml:space="preserve">. </w:t>
      </w:r>
      <w:r>
        <w:rPr>
          <w:rFonts w:ascii="仿宋" w:hAnsi="仿宋" w:eastAsia="仿宋" w:cs="MS Mincho"/>
        </w:rPr>
        <w:t>探析基</w:t>
      </w:r>
      <w:r>
        <w:rPr>
          <w:rFonts w:hint="eastAsia" w:ascii="仿宋" w:hAnsi="仿宋" w:eastAsia="仿宋"/>
        </w:rPr>
        <w:t>于</w:t>
      </w:r>
      <w:r>
        <w:rPr>
          <w:rFonts w:ascii="仿宋" w:hAnsi="仿宋" w:eastAsia="仿宋"/>
        </w:rPr>
        <w:t>Token</w:t>
      </w:r>
      <w:r>
        <w:rPr>
          <w:rFonts w:ascii="仿宋" w:hAnsi="仿宋" w:eastAsia="仿宋" w:cs="MS Mincho"/>
        </w:rPr>
        <w:t>的</w:t>
      </w:r>
      <w:r>
        <w:rPr>
          <w:rFonts w:ascii="仿宋" w:hAnsi="仿宋" w:eastAsia="仿宋"/>
        </w:rPr>
        <w:t>“</w:t>
      </w:r>
      <w:r>
        <w:rPr>
          <w:rFonts w:ascii="仿宋" w:hAnsi="仿宋" w:eastAsia="仿宋" w:cs="MS Mincho"/>
        </w:rPr>
        <w:t>商</w:t>
      </w:r>
      <w:r>
        <w:rPr>
          <w:rFonts w:ascii="仿宋" w:hAnsi="仿宋" w:eastAsia="仿宋" w:cs="宋体"/>
        </w:rPr>
        <w:t>户</w:t>
      </w:r>
      <w:r>
        <w:rPr>
          <w:rFonts w:ascii="仿宋" w:hAnsi="仿宋" w:eastAsia="仿宋"/>
        </w:rPr>
        <w:t>-</w:t>
      </w:r>
      <w:r>
        <w:rPr>
          <w:rFonts w:ascii="仿宋" w:hAnsi="仿宋" w:eastAsia="仿宋" w:cs="MS Mincho"/>
        </w:rPr>
        <w:t>卡</w:t>
      </w:r>
      <w:r>
        <w:rPr>
          <w:rFonts w:ascii="仿宋" w:hAnsi="仿宋" w:eastAsia="仿宋" w:cs="宋体"/>
        </w:rPr>
        <w:t>组织</w:t>
      </w:r>
      <w:r>
        <w:rPr>
          <w:rFonts w:ascii="仿宋" w:hAnsi="仿宋" w:eastAsia="仿宋"/>
        </w:rPr>
        <w:t>”</w:t>
      </w:r>
      <w:r>
        <w:rPr>
          <w:rFonts w:ascii="仿宋" w:hAnsi="仿宋" w:eastAsia="仿宋" w:cs="宋体"/>
        </w:rPr>
        <w:t>线上支付模式</w:t>
      </w:r>
      <w:r>
        <w:rPr>
          <w:rFonts w:ascii="仿宋" w:hAnsi="仿宋" w:eastAsia="仿宋"/>
        </w:rPr>
        <w:t xml:space="preserve">[J]. </w:t>
      </w:r>
      <w:r>
        <w:rPr>
          <w:rFonts w:ascii="仿宋" w:hAnsi="仿宋" w:eastAsia="仿宋" w:cs="MS Mincho"/>
        </w:rPr>
        <w:t>金融</w:t>
      </w:r>
      <w:r>
        <w:rPr>
          <w:rFonts w:ascii="仿宋" w:hAnsi="仿宋" w:eastAsia="仿宋" w:cs="宋体"/>
        </w:rPr>
        <w:t>电</w:t>
      </w:r>
      <w:r>
        <w:rPr>
          <w:rFonts w:ascii="仿宋" w:hAnsi="仿宋" w:eastAsia="仿宋" w:cs="MS Mincho"/>
        </w:rPr>
        <w:t>子化</w:t>
      </w:r>
      <w:r>
        <w:rPr>
          <w:rFonts w:ascii="仿宋" w:hAnsi="仿宋" w:eastAsia="仿宋"/>
        </w:rPr>
        <w:t>, 2015(9):47-51.</w:t>
      </w:r>
    </w:p>
    <w:p>
      <w:pPr>
        <w:pStyle w:val="18"/>
        <w:ind w:firstLine="0" w:firstLineChars="0"/>
        <w:rPr>
          <w:rFonts w:ascii="仿宋" w:hAnsi="仿宋" w:eastAsia="仿宋"/>
        </w:rPr>
      </w:pPr>
      <w:r>
        <w:rPr>
          <w:rFonts w:hint="eastAsia" w:ascii="仿宋" w:hAnsi="仿宋" w:eastAsia="仿宋"/>
        </w:rPr>
        <w:t>[5]</w:t>
      </w:r>
      <w:r>
        <w:rPr>
          <w:rFonts w:ascii="仿宋" w:hAnsi="仿宋" w:eastAsia="仿宋" w:cs="宋体"/>
        </w:rPr>
        <w:t xml:space="preserve"> 陆水</w:t>
      </w:r>
      <w:r>
        <w:rPr>
          <w:rFonts w:ascii="仿宋" w:hAnsi="仿宋" w:eastAsia="仿宋"/>
        </w:rPr>
        <w:t xml:space="preserve">. </w:t>
      </w:r>
      <w:r>
        <w:rPr>
          <w:rFonts w:ascii="仿宋" w:hAnsi="仿宋" w:eastAsia="仿宋" w:cs="MS Mincho"/>
        </w:rPr>
        <w:t>二</w:t>
      </w:r>
      <w:r>
        <w:rPr>
          <w:rFonts w:ascii="仿宋" w:hAnsi="仿宋" w:eastAsia="仿宋" w:cs="宋体"/>
        </w:rPr>
        <w:t>维码</w:t>
      </w:r>
      <w:r>
        <w:rPr>
          <w:rFonts w:ascii="仿宋" w:hAnsi="仿宋" w:eastAsia="仿宋" w:cs="MS Mincho"/>
        </w:rPr>
        <w:t>支付</w:t>
      </w:r>
      <w:r>
        <w:rPr>
          <w:rFonts w:ascii="仿宋" w:hAnsi="仿宋" w:eastAsia="仿宋"/>
        </w:rPr>
        <w:t>——</w:t>
      </w:r>
      <w:r>
        <w:rPr>
          <w:rFonts w:ascii="仿宋" w:hAnsi="仿宋" w:eastAsia="仿宋" w:cs="宋体"/>
        </w:rPr>
        <w:t>电子银行</w:t>
      </w:r>
      <w:r>
        <w:rPr>
          <w:rFonts w:ascii="仿宋" w:hAnsi="仿宋" w:eastAsia="仿宋"/>
        </w:rPr>
        <w:t>3.0</w:t>
      </w:r>
      <w:r>
        <w:rPr>
          <w:rFonts w:ascii="仿宋" w:hAnsi="仿宋" w:eastAsia="仿宋" w:cs="宋体"/>
        </w:rPr>
        <w:t>时代的利器</w:t>
      </w:r>
      <w:r>
        <w:rPr>
          <w:rFonts w:ascii="仿宋" w:hAnsi="仿宋" w:eastAsia="仿宋"/>
        </w:rPr>
        <w:t xml:space="preserve">[J]. </w:t>
      </w:r>
      <w:r>
        <w:rPr>
          <w:rFonts w:ascii="仿宋" w:hAnsi="仿宋" w:eastAsia="仿宋" w:cs="MS Mincho"/>
        </w:rPr>
        <w:t>金融</w:t>
      </w:r>
      <w:r>
        <w:rPr>
          <w:rFonts w:ascii="仿宋" w:hAnsi="仿宋" w:eastAsia="仿宋" w:cs="宋体"/>
        </w:rPr>
        <w:t>电</w:t>
      </w:r>
      <w:r>
        <w:rPr>
          <w:rFonts w:ascii="仿宋" w:hAnsi="仿宋" w:eastAsia="仿宋" w:cs="MS Mincho"/>
        </w:rPr>
        <w:t>子化</w:t>
      </w:r>
      <w:r>
        <w:rPr>
          <w:rFonts w:ascii="仿宋" w:hAnsi="仿宋" w:eastAsia="仿宋"/>
        </w:rPr>
        <w:t>, 2016(9):49-50.</w:t>
      </w:r>
    </w:p>
    <w:p>
      <w:pPr>
        <w:pStyle w:val="18"/>
        <w:ind w:firstLine="0" w:firstLineChars="0"/>
        <w:rPr>
          <w:rFonts w:ascii="仿宋" w:hAnsi="仿宋" w:eastAsia="仿宋"/>
        </w:rPr>
      </w:pPr>
      <w:r>
        <w:rPr>
          <w:rFonts w:hint="eastAsia" w:ascii="仿宋" w:hAnsi="仿宋" w:eastAsia="仿宋"/>
        </w:rPr>
        <w:t>[6]</w:t>
      </w:r>
      <w:r>
        <w:rPr>
          <w:rFonts w:ascii="仿宋" w:hAnsi="仿宋" w:eastAsia="仿宋" w:cs="MS Mincho"/>
        </w:rPr>
        <w:t xml:space="preserve"> 周皓</w:t>
      </w:r>
      <w:r>
        <w:rPr>
          <w:rFonts w:ascii="仿宋" w:hAnsi="仿宋" w:eastAsia="仿宋"/>
        </w:rPr>
        <w:t xml:space="preserve">, </w:t>
      </w:r>
      <w:r>
        <w:rPr>
          <w:rFonts w:ascii="仿宋" w:hAnsi="仿宋" w:eastAsia="仿宋" w:cs="MS Mincho"/>
        </w:rPr>
        <w:t>周明</w:t>
      </w:r>
      <w:r>
        <w:rPr>
          <w:rFonts w:ascii="仿宋" w:hAnsi="仿宋" w:eastAsia="仿宋"/>
        </w:rPr>
        <w:t xml:space="preserve">, </w:t>
      </w:r>
      <w:r>
        <w:rPr>
          <w:rFonts w:ascii="仿宋" w:hAnsi="仿宋" w:eastAsia="仿宋" w:cs="宋体"/>
        </w:rPr>
        <w:t>赵海</w:t>
      </w:r>
      <w:r>
        <w:rPr>
          <w:rFonts w:ascii="仿宋" w:hAnsi="仿宋" w:eastAsia="仿宋"/>
        </w:rPr>
        <w:t xml:space="preserve">. </w:t>
      </w:r>
      <w:r>
        <w:rPr>
          <w:rFonts w:ascii="仿宋" w:hAnsi="仿宋" w:eastAsia="仿宋" w:cs="MS Mincho"/>
        </w:rPr>
        <w:t>全球支付</w:t>
      </w:r>
      <w:r>
        <w:rPr>
          <w:rFonts w:ascii="仿宋" w:hAnsi="仿宋" w:eastAsia="仿宋" w:cs="宋体"/>
        </w:rPr>
        <w:t>产业标记</w:t>
      </w:r>
      <w:r>
        <w:rPr>
          <w:rFonts w:ascii="仿宋" w:hAnsi="仿宋" w:eastAsia="仿宋" w:cs="MS Mincho"/>
        </w:rPr>
        <w:t>化</w:t>
      </w:r>
      <w:r>
        <w:rPr>
          <w:rFonts w:ascii="仿宋" w:hAnsi="仿宋" w:eastAsia="仿宋" w:cs="宋体"/>
        </w:rPr>
        <w:t>发</w:t>
      </w:r>
      <w:r>
        <w:rPr>
          <w:rFonts w:ascii="仿宋" w:hAnsi="仿宋" w:eastAsia="仿宋" w:cs="MS Mincho"/>
        </w:rPr>
        <w:t>展</w:t>
      </w:r>
      <w:r>
        <w:rPr>
          <w:rFonts w:ascii="仿宋" w:hAnsi="仿宋" w:eastAsia="仿宋" w:cs="宋体"/>
        </w:rPr>
        <w:t>趋势</w:t>
      </w:r>
      <w:r>
        <w:rPr>
          <w:rFonts w:ascii="仿宋" w:hAnsi="仿宋" w:eastAsia="仿宋" w:cs="MS Mincho"/>
        </w:rPr>
        <w:t>分析</w:t>
      </w:r>
      <w:r>
        <w:rPr>
          <w:rFonts w:ascii="仿宋" w:hAnsi="仿宋" w:eastAsia="仿宋"/>
        </w:rPr>
        <w:t xml:space="preserve">[J]. </w:t>
      </w:r>
      <w:r>
        <w:rPr>
          <w:rFonts w:ascii="仿宋" w:hAnsi="仿宋" w:eastAsia="仿宋" w:cs="MS Mincho"/>
        </w:rPr>
        <w:t>中国金融</w:t>
      </w:r>
      <w:r>
        <w:rPr>
          <w:rFonts w:ascii="仿宋" w:hAnsi="仿宋" w:eastAsia="仿宋" w:cs="宋体"/>
        </w:rPr>
        <w:t>电脑</w:t>
      </w:r>
      <w:r>
        <w:rPr>
          <w:rFonts w:ascii="仿宋" w:hAnsi="仿宋" w:eastAsia="仿宋"/>
        </w:rPr>
        <w:t>, 2015(6):45-48.</w:t>
      </w:r>
    </w:p>
    <w:p>
      <w:pPr>
        <w:pStyle w:val="18"/>
        <w:ind w:firstLine="0" w:firstLineChars="0"/>
        <w:rPr>
          <w:rFonts w:ascii="仿宋" w:hAnsi="仿宋" w:eastAsia="仿宋"/>
        </w:rPr>
      </w:pPr>
      <w:r>
        <w:rPr>
          <w:rFonts w:hint="eastAsia" w:ascii="仿宋" w:hAnsi="仿宋" w:eastAsia="仿宋"/>
        </w:rPr>
        <w:t>[7]</w:t>
      </w:r>
      <w:r>
        <w:rPr>
          <w:rFonts w:ascii="仿宋" w:hAnsi="仿宋" w:eastAsia="仿宋" w:cs="宋体"/>
        </w:rPr>
        <w:t xml:space="preserve"> 张慧琳</w:t>
      </w:r>
      <w:r>
        <w:rPr>
          <w:rFonts w:ascii="仿宋" w:hAnsi="仿宋" w:eastAsia="仿宋"/>
        </w:rPr>
        <w:t xml:space="preserve">, </w:t>
      </w:r>
      <w:r>
        <w:rPr>
          <w:rFonts w:ascii="仿宋" w:hAnsi="仿宋" w:eastAsia="仿宋" w:cs="宋体"/>
        </w:rPr>
        <w:t>赵云辉</w:t>
      </w:r>
      <w:r>
        <w:rPr>
          <w:rFonts w:ascii="仿宋" w:hAnsi="仿宋" w:eastAsia="仿宋"/>
        </w:rPr>
        <w:t xml:space="preserve">. </w:t>
      </w:r>
      <w:r>
        <w:rPr>
          <w:rFonts w:hint="eastAsia" w:ascii="仿宋" w:hAnsi="仿宋" w:eastAsia="仿宋" w:cs="MS Mincho"/>
        </w:rPr>
        <w:t>浅</w:t>
      </w:r>
      <w:r>
        <w:rPr>
          <w:rFonts w:ascii="仿宋" w:hAnsi="仿宋" w:eastAsia="仿宋" w:cs="MS Mincho"/>
        </w:rPr>
        <w:t>析基于支付</w:t>
      </w:r>
      <w:r>
        <w:rPr>
          <w:rFonts w:ascii="仿宋" w:hAnsi="仿宋" w:eastAsia="仿宋" w:cs="宋体"/>
        </w:rPr>
        <w:t>标记</w:t>
      </w:r>
      <w:r>
        <w:rPr>
          <w:rFonts w:ascii="仿宋" w:hAnsi="仿宋" w:eastAsia="仿宋" w:cs="MS Mincho"/>
        </w:rPr>
        <w:t>化技</w:t>
      </w:r>
      <w:r>
        <w:rPr>
          <w:rFonts w:ascii="仿宋" w:hAnsi="仿宋" w:eastAsia="仿宋" w:cs="宋体"/>
        </w:rPr>
        <w:t>术</w:t>
      </w:r>
      <w:r>
        <w:rPr>
          <w:rFonts w:ascii="仿宋" w:hAnsi="仿宋" w:eastAsia="仿宋" w:cs="MS Mincho"/>
        </w:rPr>
        <w:t>的移</w:t>
      </w:r>
      <w:r>
        <w:rPr>
          <w:rFonts w:ascii="仿宋" w:hAnsi="仿宋" w:eastAsia="仿宋" w:cs="宋体"/>
        </w:rPr>
        <w:t>动</w:t>
      </w:r>
      <w:r>
        <w:rPr>
          <w:rFonts w:ascii="仿宋" w:hAnsi="仿宋" w:eastAsia="仿宋" w:cs="MS Mincho"/>
        </w:rPr>
        <w:t>支付安全方案</w:t>
      </w:r>
      <w:r>
        <w:rPr>
          <w:rFonts w:ascii="仿宋" w:hAnsi="仿宋" w:eastAsia="仿宋"/>
        </w:rPr>
        <w:t>[J]. 信息安全与技术, 2015, 6(7).</w:t>
      </w:r>
    </w:p>
    <w:p>
      <w:pPr>
        <w:pStyle w:val="18"/>
        <w:ind w:firstLine="0" w:firstLineChars="0"/>
        <w:rPr>
          <w:rFonts w:ascii="仿宋" w:hAnsi="仿宋" w:eastAsia="仿宋"/>
        </w:rPr>
      </w:pPr>
      <w:r>
        <w:rPr>
          <w:rFonts w:hint="eastAsia" w:ascii="仿宋" w:hAnsi="仿宋" w:eastAsia="仿宋"/>
        </w:rPr>
        <w:t>[8]</w:t>
      </w:r>
      <w:r>
        <w:rPr>
          <w:rFonts w:ascii="仿宋" w:hAnsi="仿宋" w:eastAsia="仿宋" w:cs="MS Mincho"/>
        </w:rPr>
        <w:t xml:space="preserve"> </w:t>
      </w:r>
      <w:r>
        <w:rPr>
          <w:rFonts w:ascii="仿宋" w:hAnsi="仿宋" w:eastAsia="仿宋" w:cs="宋体"/>
        </w:rPr>
        <w:t>罗锦莉</w:t>
      </w:r>
      <w:r>
        <w:rPr>
          <w:rFonts w:ascii="仿宋" w:hAnsi="仿宋" w:eastAsia="仿宋"/>
        </w:rPr>
        <w:t xml:space="preserve">. </w:t>
      </w:r>
      <w:r>
        <w:rPr>
          <w:rFonts w:ascii="仿宋" w:hAnsi="仿宋" w:eastAsia="仿宋" w:cs="MS Mincho"/>
        </w:rPr>
        <w:t>支付</w:t>
      </w:r>
      <w:r>
        <w:rPr>
          <w:rFonts w:ascii="仿宋" w:hAnsi="仿宋" w:eastAsia="仿宋" w:cs="宋体"/>
        </w:rPr>
        <w:t>风</w:t>
      </w:r>
      <w:r>
        <w:rPr>
          <w:rFonts w:ascii="仿宋" w:hAnsi="仿宋" w:eastAsia="仿宋" w:cs="MS Mincho"/>
        </w:rPr>
        <w:t>控新</w:t>
      </w:r>
      <w:r>
        <w:rPr>
          <w:rFonts w:ascii="仿宋" w:hAnsi="仿宋" w:eastAsia="仿宋" w:cs="宋体"/>
        </w:rPr>
        <w:t>术</w:t>
      </w:r>
      <w:r>
        <w:rPr>
          <w:rFonts w:ascii="仿宋" w:hAnsi="仿宋" w:eastAsia="仿宋" w:cs="MS Mincho"/>
        </w:rPr>
        <w:t>上</w:t>
      </w:r>
      <w:r>
        <w:rPr>
          <w:rFonts w:ascii="仿宋" w:hAnsi="仿宋" w:eastAsia="仿宋" w:cs="宋体"/>
        </w:rPr>
        <w:t>线</w:t>
      </w:r>
      <w:r>
        <w:rPr>
          <w:rFonts w:ascii="仿宋" w:hAnsi="仿宋" w:eastAsia="仿宋"/>
        </w:rPr>
        <w:t xml:space="preserve">[J]. </w:t>
      </w:r>
      <w:r>
        <w:rPr>
          <w:rFonts w:ascii="仿宋" w:hAnsi="仿宋" w:eastAsia="仿宋" w:cs="MS Mincho"/>
        </w:rPr>
        <w:t>金融科技</w:t>
      </w:r>
      <w:r>
        <w:rPr>
          <w:rFonts w:ascii="仿宋" w:hAnsi="仿宋" w:eastAsia="仿宋" w:cs="宋体"/>
        </w:rPr>
        <w:t>时</w:t>
      </w:r>
      <w:r>
        <w:rPr>
          <w:rFonts w:ascii="仿宋" w:hAnsi="仿宋" w:eastAsia="仿宋" w:cs="MS Mincho"/>
        </w:rPr>
        <w:t>代</w:t>
      </w:r>
      <w:r>
        <w:rPr>
          <w:rFonts w:ascii="仿宋" w:hAnsi="仿宋" w:eastAsia="仿宋"/>
        </w:rPr>
        <w:t>, 2016(9):80-83.</w:t>
      </w:r>
    </w:p>
    <w:p>
      <w:pPr>
        <w:pStyle w:val="18"/>
        <w:ind w:firstLine="0" w:firstLineChars="0"/>
        <w:rPr>
          <w:rFonts w:ascii="仿宋" w:hAnsi="仿宋" w:eastAsia="仿宋"/>
        </w:rPr>
      </w:pPr>
      <w:r>
        <w:rPr>
          <w:rFonts w:hint="eastAsia" w:ascii="仿宋" w:hAnsi="仿宋" w:eastAsia="仿宋"/>
        </w:rPr>
        <w:t>[9]</w:t>
      </w:r>
      <w:r>
        <w:rPr>
          <w:rFonts w:ascii="仿宋" w:hAnsi="仿宋" w:eastAsia="仿宋" w:cs="MS Mincho"/>
        </w:rPr>
        <w:t xml:space="preserve"> 佚名</w:t>
      </w:r>
      <w:r>
        <w:rPr>
          <w:rFonts w:ascii="仿宋" w:hAnsi="仿宋" w:eastAsia="仿宋"/>
        </w:rPr>
        <w:t xml:space="preserve">. </w:t>
      </w:r>
      <w:r>
        <w:rPr>
          <w:rFonts w:ascii="仿宋" w:hAnsi="仿宋" w:eastAsia="仿宋" w:cs="宋体"/>
        </w:rPr>
        <w:t>华为牵手银联推出</w:t>
      </w:r>
      <w:r>
        <w:rPr>
          <w:rFonts w:ascii="仿宋" w:hAnsi="仿宋" w:eastAsia="仿宋"/>
        </w:rPr>
        <w:t xml:space="preserve">Huawei Pay[J]. </w:t>
      </w:r>
      <w:r>
        <w:rPr>
          <w:rFonts w:ascii="仿宋" w:hAnsi="仿宋" w:eastAsia="仿宋" w:cs="MS Mincho"/>
        </w:rPr>
        <w:t>中国信息安全</w:t>
      </w:r>
      <w:r>
        <w:rPr>
          <w:rFonts w:ascii="仿宋" w:hAnsi="仿宋" w:eastAsia="仿宋"/>
        </w:rPr>
        <w:t>, 2016(4):104-104.</w:t>
      </w:r>
    </w:p>
    <w:sectPr>
      <w:pgSz w:w="11906" w:h="16838"/>
      <w:pgMar w:top="1440" w:right="1800" w:bottom="1091"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Palatino Linotype">
    <w:panose1 w:val="02040502050505030304"/>
    <w:charset w:val="00"/>
    <w:family w:val="roman"/>
    <w:pitch w:val="default"/>
    <w:sig w:usb0="E0000287" w:usb1="40000013"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MS Mincho">
    <w:altName w:val="Yu Gothic UI"/>
    <w:panose1 w:val="02020609040205080304"/>
    <w:charset w:val="80"/>
    <w:family w:val="auto"/>
    <w:pitch w:val="default"/>
    <w:sig w:usb0="00000000" w:usb1="00000000" w:usb2="08000012" w:usb3="00000000" w:csb0="0002009F" w:csb1="00000000"/>
  </w:font>
  <w:font w:name="MS Gothic">
    <w:panose1 w:val="020B0609070205080204"/>
    <w:charset w:val="80"/>
    <w:family w:val="modern"/>
    <w:pitch w:val="default"/>
    <w:sig w:usb0="E00002FF" w:usb1="6AC7FDFB" w:usb2="08000012" w:usb3="00000000" w:csb0="4002009F" w:csb1="DFD70000"/>
  </w:font>
  <w:font w:name="Times">
    <w:altName w:val="Times New Roman"/>
    <w:panose1 w:val="02020603050405020304"/>
    <w:charset w:val="00"/>
    <w:family w:val="auto"/>
    <w:pitch w:val="default"/>
    <w:sig w:usb0="00000000" w:usb1="00000000" w:usb2="00000000" w:usb3="00000000" w:csb0="00000001" w:csb1="00000000"/>
  </w:font>
  <w:font w:name="等线 Light">
    <w:panose1 w:val="02010600030101010101"/>
    <w:charset w:val="86"/>
    <w:family w:val="auto"/>
    <w:pitch w:val="default"/>
    <w:sig w:usb0="A00002BF" w:usb1="38CF7CFA" w:usb2="00000016" w:usb3="00000000" w:csb0="0004000F" w:csb1="00000000"/>
  </w:font>
  <w:font w:name="Yu Gothic UI">
    <w:panose1 w:val="020B0500000000000000"/>
    <w:charset w:val="80"/>
    <w:family w:val="auto"/>
    <w:pitch w:val="default"/>
    <w:sig w:usb0="E00002FF" w:usb1="2AC7FDFF" w:usb2="00000016" w:usb3="00000000" w:csb0="2002009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63D"/>
    <w:rsid w:val="00003F24"/>
    <w:rsid w:val="0001163D"/>
    <w:rsid w:val="000126E9"/>
    <w:rsid w:val="00026736"/>
    <w:rsid w:val="00041180"/>
    <w:rsid w:val="00060AE4"/>
    <w:rsid w:val="00062548"/>
    <w:rsid w:val="00070027"/>
    <w:rsid w:val="000727A7"/>
    <w:rsid w:val="00080AC4"/>
    <w:rsid w:val="0008129C"/>
    <w:rsid w:val="00091DB2"/>
    <w:rsid w:val="000B2A30"/>
    <w:rsid w:val="000B383F"/>
    <w:rsid w:val="000C004C"/>
    <w:rsid w:val="000C2C4D"/>
    <w:rsid w:val="000D2DE3"/>
    <w:rsid w:val="000F08FA"/>
    <w:rsid w:val="00101AB9"/>
    <w:rsid w:val="00105812"/>
    <w:rsid w:val="00120099"/>
    <w:rsid w:val="00121560"/>
    <w:rsid w:val="00126E1C"/>
    <w:rsid w:val="00133A7D"/>
    <w:rsid w:val="001756F7"/>
    <w:rsid w:val="0017672D"/>
    <w:rsid w:val="00177651"/>
    <w:rsid w:val="001B2228"/>
    <w:rsid w:val="001C5D43"/>
    <w:rsid w:val="001E0F9E"/>
    <w:rsid w:val="001E388B"/>
    <w:rsid w:val="001F2377"/>
    <w:rsid w:val="002011FD"/>
    <w:rsid w:val="00212E06"/>
    <w:rsid w:val="0021329A"/>
    <w:rsid w:val="00221642"/>
    <w:rsid w:val="00231F34"/>
    <w:rsid w:val="00237C9A"/>
    <w:rsid w:val="002412EF"/>
    <w:rsid w:val="002472A5"/>
    <w:rsid w:val="0025621E"/>
    <w:rsid w:val="002749D7"/>
    <w:rsid w:val="00276391"/>
    <w:rsid w:val="002A1B24"/>
    <w:rsid w:val="002A24A7"/>
    <w:rsid w:val="002A60E9"/>
    <w:rsid w:val="002B51D7"/>
    <w:rsid w:val="002D2EFA"/>
    <w:rsid w:val="002D6D46"/>
    <w:rsid w:val="002D7CD9"/>
    <w:rsid w:val="002E2603"/>
    <w:rsid w:val="002E6831"/>
    <w:rsid w:val="002F5A0F"/>
    <w:rsid w:val="00324E16"/>
    <w:rsid w:val="003261C9"/>
    <w:rsid w:val="003357B7"/>
    <w:rsid w:val="003A0CDD"/>
    <w:rsid w:val="003F7FBD"/>
    <w:rsid w:val="00402A4F"/>
    <w:rsid w:val="00410788"/>
    <w:rsid w:val="00422199"/>
    <w:rsid w:val="00424B5B"/>
    <w:rsid w:val="00437DB8"/>
    <w:rsid w:val="0044712E"/>
    <w:rsid w:val="00456116"/>
    <w:rsid w:val="00462A21"/>
    <w:rsid w:val="00476D21"/>
    <w:rsid w:val="004867F3"/>
    <w:rsid w:val="00494131"/>
    <w:rsid w:val="004B47AF"/>
    <w:rsid w:val="004C4E84"/>
    <w:rsid w:val="004D2323"/>
    <w:rsid w:val="004E796B"/>
    <w:rsid w:val="005263DC"/>
    <w:rsid w:val="00526C3D"/>
    <w:rsid w:val="005556FC"/>
    <w:rsid w:val="0055752F"/>
    <w:rsid w:val="00584F74"/>
    <w:rsid w:val="00597EC9"/>
    <w:rsid w:val="005B75E1"/>
    <w:rsid w:val="005C000D"/>
    <w:rsid w:val="005D336D"/>
    <w:rsid w:val="005D341B"/>
    <w:rsid w:val="006110B1"/>
    <w:rsid w:val="00612E83"/>
    <w:rsid w:val="006240AC"/>
    <w:rsid w:val="00625995"/>
    <w:rsid w:val="00626265"/>
    <w:rsid w:val="006A35DA"/>
    <w:rsid w:val="006A725E"/>
    <w:rsid w:val="006B6FF1"/>
    <w:rsid w:val="006C5734"/>
    <w:rsid w:val="006D3AFA"/>
    <w:rsid w:val="006F0B85"/>
    <w:rsid w:val="006F2B09"/>
    <w:rsid w:val="006F3C18"/>
    <w:rsid w:val="006F4043"/>
    <w:rsid w:val="006F61CD"/>
    <w:rsid w:val="007100FC"/>
    <w:rsid w:val="00712A04"/>
    <w:rsid w:val="0072274F"/>
    <w:rsid w:val="0073769F"/>
    <w:rsid w:val="00747135"/>
    <w:rsid w:val="0077031D"/>
    <w:rsid w:val="00782837"/>
    <w:rsid w:val="007A0EFB"/>
    <w:rsid w:val="007A60E3"/>
    <w:rsid w:val="007D7101"/>
    <w:rsid w:val="007E3116"/>
    <w:rsid w:val="007E3A73"/>
    <w:rsid w:val="00801808"/>
    <w:rsid w:val="00801FE2"/>
    <w:rsid w:val="00805018"/>
    <w:rsid w:val="008057DF"/>
    <w:rsid w:val="008137BB"/>
    <w:rsid w:val="0081407D"/>
    <w:rsid w:val="00816083"/>
    <w:rsid w:val="00845FF4"/>
    <w:rsid w:val="008536ED"/>
    <w:rsid w:val="00867BF6"/>
    <w:rsid w:val="008A4498"/>
    <w:rsid w:val="008A5181"/>
    <w:rsid w:val="008B6925"/>
    <w:rsid w:val="008C0470"/>
    <w:rsid w:val="008D2D87"/>
    <w:rsid w:val="008E594C"/>
    <w:rsid w:val="00907874"/>
    <w:rsid w:val="009105A7"/>
    <w:rsid w:val="009152FD"/>
    <w:rsid w:val="00923855"/>
    <w:rsid w:val="00943400"/>
    <w:rsid w:val="0095064F"/>
    <w:rsid w:val="009573DC"/>
    <w:rsid w:val="009576C0"/>
    <w:rsid w:val="009837E6"/>
    <w:rsid w:val="009B1AD8"/>
    <w:rsid w:val="009B2032"/>
    <w:rsid w:val="009C2860"/>
    <w:rsid w:val="009C6B79"/>
    <w:rsid w:val="009D7243"/>
    <w:rsid w:val="009E5711"/>
    <w:rsid w:val="00A21792"/>
    <w:rsid w:val="00A30D37"/>
    <w:rsid w:val="00A34A36"/>
    <w:rsid w:val="00A37EC8"/>
    <w:rsid w:val="00A40B51"/>
    <w:rsid w:val="00A604DD"/>
    <w:rsid w:val="00A62BE1"/>
    <w:rsid w:val="00A80917"/>
    <w:rsid w:val="00A851D8"/>
    <w:rsid w:val="00A861A7"/>
    <w:rsid w:val="00AA1769"/>
    <w:rsid w:val="00AC2938"/>
    <w:rsid w:val="00AD0160"/>
    <w:rsid w:val="00AD6DA1"/>
    <w:rsid w:val="00B03504"/>
    <w:rsid w:val="00B0402C"/>
    <w:rsid w:val="00B205F4"/>
    <w:rsid w:val="00B32485"/>
    <w:rsid w:val="00B50D14"/>
    <w:rsid w:val="00B73F59"/>
    <w:rsid w:val="00B92FE3"/>
    <w:rsid w:val="00BB7F10"/>
    <w:rsid w:val="00BC0DD0"/>
    <w:rsid w:val="00BD7501"/>
    <w:rsid w:val="00BE1366"/>
    <w:rsid w:val="00BF7834"/>
    <w:rsid w:val="00C07BA9"/>
    <w:rsid w:val="00C3169C"/>
    <w:rsid w:val="00C3725F"/>
    <w:rsid w:val="00C421B7"/>
    <w:rsid w:val="00C45763"/>
    <w:rsid w:val="00C50352"/>
    <w:rsid w:val="00C51A2D"/>
    <w:rsid w:val="00C8383A"/>
    <w:rsid w:val="00C97316"/>
    <w:rsid w:val="00CA2C48"/>
    <w:rsid w:val="00CB27CE"/>
    <w:rsid w:val="00CC0E5A"/>
    <w:rsid w:val="00CD3ACB"/>
    <w:rsid w:val="00CD4F9C"/>
    <w:rsid w:val="00CF3666"/>
    <w:rsid w:val="00D01D19"/>
    <w:rsid w:val="00D15CE5"/>
    <w:rsid w:val="00D20862"/>
    <w:rsid w:val="00D23698"/>
    <w:rsid w:val="00D707E5"/>
    <w:rsid w:val="00DA2281"/>
    <w:rsid w:val="00DA27B7"/>
    <w:rsid w:val="00DB027C"/>
    <w:rsid w:val="00DC420E"/>
    <w:rsid w:val="00DD13C4"/>
    <w:rsid w:val="00DF2903"/>
    <w:rsid w:val="00E016E5"/>
    <w:rsid w:val="00E02210"/>
    <w:rsid w:val="00E078CF"/>
    <w:rsid w:val="00E34068"/>
    <w:rsid w:val="00E402DE"/>
    <w:rsid w:val="00E42F80"/>
    <w:rsid w:val="00E44DC3"/>
    <w:rsid w:val="00E4613A"/>
    <w:rsid w:val="00E633F7"/>
    <w:rsid w:val="00E67C60"/>
    <w:rsid w:val="00E972EC"/>
    <w:rsid w:val="00EB0B31"/>
    <w:rsid w:val="00EC1866"/>
    <w:rsid w:val="00ED710B"/>
    <w:rsid w:val="00F03F9D"/>
    <w:rsid w:val="00F23836"/>
    <w:rsid w:val="00F30D3C"/>
    <w:rsid w:val="00F71E74"/>
    <w:rsid w:val="00F753F0"/>
    <w:rsid w:val="00F761E9"/>
    <w:rsid w:val="00FA3AE9"/>
    <w:rsid w:val="00FA4262"/>
    <w:rsid w:val="00FB5DDC"/>
    <w:rsid w:val="00FB648B"/>
    <w:rsid w:val="00FD4B06"/>
    <w:rsid w:val="00FE49ED"/>
    <w:rsid w:val="1C1A3B01"/>
    <w:rsid w:val="243F6476"/>
    <w:rsid w:val="7B8777DE"/>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仿宋_GB2312" w:cs="Times New Roman"/>
      <w:kern w:val="2"/>
      <w:sz w:val="24"/>
      <w:szCs w:val="24"/>
      <w:lang w:val="en-US" w:eastAsia="zh-CN" w:bidi="ar-SA"/>
    </w:rPr>
  </w:style>
  <w:style w:type="paragraph" w:styleId="2">
    <w:name w:val="heading 1"/>
    <w:basedOn w:val="1"/>
    <w:next w:val="1"/>
    <w:link w:val="15"/>
    <w:qFormat/>
    <w:uiPriority w:val="9"/>
    <w:pPr>
      <w:keepNext/>
      <w:keepLines/>
      <w:ind w:firstLine="0" w:firstLineChars="0"/>
      <w:outlineLvl w:val="0"/>
    </w:pPr>
    <w:rPr>
      <w:b/>
      <w:bCs/>
      <w:kern w:val="44"/>
      <w:szCs w:val="44"/>
    </w:rPr>
  </w:style>
  <w:style w:type="paragraph" w:styleId="3">
    <w:name w:val="heading 2"/>
    <w:basedOn w:val="2"/>
    <w:next w:val="1"/>
    <w:link w:val="17"/>
    <w:unhideWhenUsed/>
    <w:qFormat/>
    <w:uiPriority w:val="9"/>
    <w:pPr>
      <w:outlineLvl w:val="1"/>
    </w:pPr>
  </w:style>
  <w:style w:type="character" w:default="1" w:styleId="9">
    <w:name w:val="Default Paragraph Font"/>
    <w:unhideWhenUsed/>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4">
    <w:name w:val="Body Text First Indent"/>
    <w:basedOn w:val="5"/>
    <w:link w:val="14"/>
    <w:uiPriority w:val="0"/>
    <w:pPr>
      <w:ind w:firstLine="420" w:firstLineChars="100"/>
    </w:pPr>
  </w:style>
  <w:style w:type="paragraph" w:styleId="5">
    <w:name w:val="Body Text"/>
    <w:basedOn w:val="1"/>
    <w:link w:val="13"/>
    <w:unhideWhenUsed/>
    <w:qFormat/>
    <w:uiPriority w:val="99"/>
    <w:pPr>
      <w:spacing w:after="120"/>
    </w:pPr>
  </w:style>
  <w:style w:type="paragraph" w:styleId="6">
    <w:name w:val="Document Map"/>
    <w:basedOn w:val="1"/>
    <w:link w:val="16"/>
    <w:unhideWhenUsed/>
    <w:uiPriority w:val="99"/>
    <w:rPr>
      <w:rFonts w:ascii="宋体" w:eastAsia="宋体"/>
    </w:rPr>
  </w:style>
  <w:style w:type="paragraph" w:styleId="7">
    <w:name w:val="Normal (Web)"/>
    <w:basedOn w:val="1"/>
    <w:unhideWhenUsed/>
    <w:qFormat/>
    <w:uiPriority w:val="99"/>
    <w:pPr>
      <w:widowControl/>
      <w:spacing w:before="100" w:beforeAutospacing="1" w:after="100" w:afterAutospacing="1" w:line="240" w:lineRule="auto"/>
      <w:ind w:firstLine="0" w:firstLineChars="0"/>
    </w:pPr>
    <w:rPr>
      <w:rFonts w:eastAsiaTheme="minorEastAsia"/>
      <w:kern w:val="0"/>
    </w:rPr>
  </w:style>
  <w:style w:type="paragraph" w:styleId="8">
    <w:name w:val="Title"/>
    <w:next w:val="4"/>
    <w:link w:val="12"/>
    <w:qFormat/>
    <w:uiPriority w:val="0"/>
    <w:pPr>
      <w:keepLines/>
      <w:pageBreakBefore/>
      <w:widowControl w:val="0"/>
      <w:spacing w:line="360" w:lineRule="auto"/>
      <w:outlineLvl w:val="0"/>
    </w:pPr>
    <w:rPr>
      <w:rFonts w:ascii="Times New Roman" w:hAnsi="Times New Roman" w:eastAsia="仿宋" w:cs="Times New Roman"/>
      <w:b/>
      <w:kern w:val="2"/>
      <w:sz w:val="30"/>
      <w:szCs w:val="30"/>
      <w:lang w:val="en-US" w:eastAsia="zh-CN" w:bidi="ar-SA"/>
    </w:rPr>
  </w:style>
  <w:style w:type="character" w:styleId="10">
    <w:name w:val="Hyperlink"/>
    <w:basedOn w:val="9"/>
    <w:unhideWhenUsed/>
    <w:qFormat/>
    <w:uiPriority w:val="99"/>
    <w:rPr>
      <w:color w:val="0000FF"/>
      <w:u w:val="single"/>
    </w:rPr>
  </w:style>
  <w:style w:type="character" w:customStyle="1" w:styleId="12">
    <w:name w:val="标题 字符"/>
    <w:basedOn w:val="9"/>
    <w:link w:val="8"/>
    <w:qFormat/>
    <w:uiPriority w:val="0"/>
    <w:rPr>
      <w:rFonts w:ascii="Times New Roman" w:hAnsi="Times New Roman" w:eastAsia="仿宋" w:cs="Times New Roman"/>
      <w:b/>
      <w:sz w:val="30"/>
      <w:szCs w:val="30"/>
    </w:rPr>
  </w:style>
  <w:style w:type="character" w:customStyle="1" w:styleId="13">
    <w:name w:val="正文文本 字符"/>
    <w:basedOn w:val="9"/>
    <w:link w:val="5"/>
    <w:semiHidden/>
    <w:uiPriority w:val="99"/>
    <w:rPr>
      <w:rFonts w:ascii="Times New Roman" w:hAnsi="Times New Roman" w:eastAsia="宋体" w:cs="Times New Roman"/>
      <w:sz w:val="21"/>
    </w:rPr>
  </w:style>
  <w:style w:type="character" w:customStyle="1" w:styleId="14">
    <w:name w:val="正文首行缩进 字符"/>
    <w:basedOn w:val="13"/>
    <w:link w:val="4"/>
    <w:uiPriority w:val="0"/>
    <w:rPr>
      <w:rFonts w:ascii="Times New Roman" w:hAnsi="Times New Roman" w:eastAsia="宋体" w:cs="Times New Roman"/>
      <w:sz w:val="21"/>
    </w:rPr>
  </w:style>
  <w:style w:type="character" w:customStyle="1" w:styleId="15">
    <w:name w:val="标题 1 字符"/>
    <w:basedOn w:val="9"/>
    <w:link w:val="2"/>
    <w:uiPriority w:val="9"/>
    <w:rPr>
      <w:rFonts w:ascii="Times New Roman" w:hAnsi="Times New Roman" w:eastAsia="仿宋_GB2312" w:cs="Times New Roman"/>
      <w:b/>
      <w:bCs/>
      <w:kern w:val="44"/>
      <w:szCs w:val="44"/>
    </w:rPr>
  </w:style>
  <w:style w:type="character" w:customStyle="1" w:styleId="16">
    <w:name w:val="文档结构图 字符"/>
    <w:basedOn w:val="9"/>
    <w:link w:val="6"/>
    <w:semiHidden/>
    <w:qFormat/>
    <w:uiPriority w:val="99"/>
    <w:rPr>
      <w:rFonts w:ascii="宋体" w:hAnsi="Times New Roman" w:eastAsia="宋体" w:cs="Times New Roman"/>
    </w:rPr>
  </w:style>
  <w:style w:type="character" w:customStyle="1" w:styleId="17">
    <w:name w:val="标题 2 字符"/>
    <w:basedOn w:val="9"/>
    <w:link w:val="3"/>
    <w:qFormat/>
    <w:uiPriority w:val="9"/>
    <w:rPr>
      <w:rFonts w:ascii="Times New Roman" w:hAnsi="Times New Roman" w:eastAsia="仿宋_GB2312" w:cs="Times New Roman"/>
      <w:b/>
      <w:bCs/>
      <w:kern w:val="44"/>
      <w:szCs w:val="44"/>
    </w:rPr>
  </w:style>
  <w:style w:type="paragraph" w:customStyle="1" w:styleId="18">
    <w:name w:val="Quote"/>
    <w:basedOn w:val="4"/>
    <w:next w:val="1"/>
    <w:link w:val="19"/>
    <w:qFormat/>
    <w:uiPriority w:val="29"/>
    <w:pPr>
      <w:ind w:firstLine="240"/>
    </w:pPr>
  </w:style>
  <w:style w:type="character" w:customStyle="1" w:styleId="19">
    <w:name w:val="引用 字符"/>
    <w:basedOn w:val="9"/>
    <w:link w:val="18"/>
    <w:qFormat/>
    <w:uiPriority w:val="29"/>
    <w:rPr>
      <w:rFonts w:ascii="Times New Roman" w:hAnsi="Times New Roman" w:eastAsia="仿宋_GB2312" w:cs="Times New Roman"/>
    </w:rPr>
  </w:style>
  <w:style w:type="paragraph" w:customStyle="1" w:styleId="20">
    <w:name w:val="小标题"/>
    <w:basedOn w:val="1"/>
    <w:link w:val="21"/>
    <w:qFormat/>
    <w:uiPriority w:val="0"/>
    <w:pPr>
      <w:ind w:firstLine="480"/>
    </w:pPr>
  </w:style>
  <w:style w:type="character" w:customStyle="1" w:styleId="21">
    <w:name w:val="小标题 字符"/>
    <w:basedOn w:val="9"/>
    <w:link w:val="20"/>
    <w:qFormat/>
    <w:uiPriority w:val="0"/>
    <w:rPr>
      <w:rFonts w:ascii="Times New Roman" w:hAnsi="Times New Roman" w:eastAsia="仿宋_GB2312"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298956-0D70-4436-9909-8B3E3FA5F8CC}">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1559</Words>
  <Characters>8890</Characters>
  <Lines>74</Lines>
  <Paragraphs>20</Paragraphs>
  <TotalTime>0</TotalTime>
  <ScaleCrop>false</ScaleCrop>
  <LinksUpToDate>false</LinksUpToDate>
  <CharactersWithSpaces>10429</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2016-12-27T07:33:00Z</dcterms:created>
  <dc:creator>Microsoft Office 用户</dc:creator>
  <cp:lastModifiedBy>john</cp:lastModifiedBy>
  <dcterms:modified xsi:type="dcterms:W3CDTF">2017-01-03T15:49:56Z</dcterms:modified>
  <cp:revision>181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