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REPLAY LAB</w:t>
      </w:r>
    </w:p>
    <w:p>
      <w:pPr/>
      <w:r>
        <w:rPr>
          <w:i/>
          <w:color w:val="76647C"/>
          <w:sz w:val="18"/>
        </w:rPr>
        <w:t>Childhood, remade. / English speaking script / five-minute video</w:t>
      </w:r>
    </w:p>
    <w:p>
      <w:pPr>
        <w:pStyle w:val="Heading1"/>
      </w:pPr>
      <w:r>
        <w:t>Recording plan</w:t>
      </w:r>
    </w:p>
    <w:p>
      <w:pPr/>
      <w:r>
        <w:t>526 spoken words. Slides 1–11 cover the story; slide 12 is a silent five-second source card. Slide 13 is a hidden appendix. The target is 4 minutes 50 seconds including the demo and credits, leaving 10 seconds below the limit. Speak at about 120 words per minute; actual recording length must be checked. Record a rehearsal after inserting your own evidence.</w:t>
      </w:r>
    </w:p>
    <w:p>
      <w:pPr>
        <w:pStyle w:val="Heading2"/>
      </w:pPr>
      <w:r>
        <w:t>Tone and audience</w:t>
      </w:r>
    </w:p>
    <w:p>
      <w:pPr/>
      <w:r>
        <w:t>Speak directly and confidently to a marketing instructor and classmates. Explain the source, then your interpretation, then the business decision. Keep the playful visual style separate from the seriousness of the evidence. Do not read URLs aloud.</w:t>
      </w:r>
    </w:p>
    <w:p>
      <w:pPr>
        <w:pStyle w:val="Heading2"/>
      </w:pPr>
      <w:r>
        <w:t>What still needs real evidence</w:t>
      </w:r>
    </w:p>
    <w:p>
      <w:pPr/>
      <w:r>
        <w:t>Slide 3 is an honest pre-fieldwork version. Replace it with your own dated observations or interviews before submission. Demo votes, saved designs, simulated reservations are not real consumer research. The questionnaire helps collect evidence; blank forms are not findings.</w:t>
      </w:r>
    </w:p>
    <w:tbl>
      <w:tblPr>
        <w:tblStyle w:val="LightShading-Accent1"/>
        <w:tblW w:type="auto" w:w="0"/>
        <w:tblLook w:firstColumn="1" w:firstRow="1" w:lastColumn="0" w:lastRow="0" w:noHBand="0" w:noVBand="1" w:val="04A0"/>
      </w:tblPr>
      <w:tblGrid>
        <w:gridCol w:w="3250"/>
        <w:gridCol w:w="3250"/>
        <w:gridCol w:w="3250"/>
      </w:tblGrid>
      <w:tr>
        <w:tc>
          <w:tcPr>
            <w:tcW w:type="dxa" w:w="3250"/>
          </w:tcPr>
          <w:p>
            <w:r>
              <w:t>Time</w:t>
            </w:r>
          </w:p>
        </w:tc>
        <w:tc>
          <w:tcPr>
            <w:tcW w:type="dxa" w:w="3250"/>
          </w:tcPr>
          <w:p>
            <w:r>
              <w:t>Slides</w:t>
            </w:r>
          </w:p>
        </w:tc>
        <w:tc>
          <w:tcPr>
            <w:tcW w:type="dxa" w:w="3250"/>
          </w:tcPr>
          <w:p>
            <w:r>
              <w:t>Purpose</w:t>
            </w:r>
          </w:p>
        </w:tc>
      </w:tr>
      <w:tr>
        <w:tc>
          <w:tcPr>
            <w:tcW w:type="dxa" w:w="3250"/>
          </w:tcPr>
          <w:p>
            <w:r>
              <w:t>0:00–1:00</w:t>
            </w:r>
          </w:p>
        </w:tc>
        <w:tc>
          <w:tcPr>
            <w:tcW w:type="dxa" w:w="3250"/>
          </w:tcPr>
          <w:p>
            <w:r>
              <w:t>1–3</w:t>
            </w:r>
          </w:p>
        </w:tc>
        <w:tc>
          <w:tcPr>
            <w:tcW w:type="dxa" w:w="3250"/>
          </w:tcPr>
          <w:p>
            <w:r>
              <w:t>Spot the change + evidence</w:t>
            </w:r>
          </w:p>
        </w:tc>
      </w:tr>
      <w:tr>
        <w:tc>
          <w:tcPr>
            <w:tcW w:type="dxa" w:w="3250"/>
          </w:tcPr>
          <w:p>
            <w:r>
              <w:t>1:00–2:05</w:t>
            </w:r>
          </w:p>
        </w:tc>
        <w:tc>
          <w:tcPr>
            <w:tcW w:type="dxa" w:w="3250"/>
          </w:tcPr>
          <w:p>
            <w:r>
              <w:t>4–5</w:t>
            </w:r>
          </w:p>
        </w:tc>
        <w:tc>
          <w:tcPr>
            <w:tcW w:type="dxa" w:w="3250"/>
          </w:tcPr>
          <w:p>
            <w:r>
              <w:t>Two class concepts</w:t>
            </w:r>
          </w:p>
        </w:tc>
      </w:tr>
      <w:tr>
        <w:tc>
          <w:tcPr>
            <w:tcW w:type="dxa" w:w="3250"/>
          </w:tcPr>
          <w:p>
            <w:r>
              <w:t>2:05–3:20</w:t>
            </w:r>
          </w:p>
        </w:tc>
        <w:tc>
          <w:tcPr>
            <w:tcW w:type="dxa" w:w="3250"/>
          </w:tcPr>
          <w:p>
            <w:r>
              <w:t>6–8</w:t>
            </w:r>
          </w:p>
        </w:tc>
        <w:tc>
          <w:tcPr>
            <w:tcW w:type="dxa" w:w="3250"/>
          </w:tcPr>
          <w:p>
            <w:r>
              <w:t>REPLAY LAB opportunity + demo</w:t>
            </w:r>
          </w:p>
        </w:tc>
      </w:tr>
      <w:tr>
        <w:tc>
          <w:tcPr>
            <w:tcW w:type="dxa" w:w="3250"/>
          </w:tcPr>
          <w:p>
            <w:r>
              <w:t>3:20–4:45</w:t>
            </w:r>
          </w:p>
        </w:tc>
        <w:tc>
          <w:tcPr>
            <w:tcW w:type="dxa" w:w="3250"/>
          </w:tcPr>
          <w:p>
            <w:r>
              <w:t>9–11</w:t>
            </w:r>
          </w:p>
        </w:tc>
        <w:tc>
          <w:tcPr>
            <w:tcW w:type="dxa" w:w="3250"/>
          </w:tcPr>
          <w:p>
            <w:r>
              <w:t>Risk, economics and recommendation</w:t>
            </w:r>
          </w:p>
        </w:tc>
      </w:tr>
      <w:tr>
        <w:tc>
          <w:tcPr>
            <w:tcW w:type="dxa" w:w="3250"/>
          </w:tcPr>
          <w:p>
            <w:r>
              <w:t>4:45–4:50</w:t>
            </w:r>
          </w:p>
        </w:tc>
        <w:tc>
          <w:tcPr>
            <w:tcW w:type="dxa" w:w="3250"/>
          </w:tcPr>
          <w:p>
            <w:r>
              <w:t>12</w:t>
            </w:r>
          </w:p>
        </w:tc>
        <w:tc>
          <w:tcPr>
            <w:tcW w:type="dxa" w:w="3250"/>
          </w:tcPr>
          <w:p>
            <w:r>
              <w:t>Source card</w:t>
            </w:r>
          </w:p>
        </w:tc>
      </w:tr>
    </w:tbl>
    <w:p>
      <w:pPr>
        <w:pStyle w:val="Heading2"/>
      </w:pPr>
      <w:r>
        <w:t>PowerPoint font</w:t>
      </w:r>
    </w:p>
    <w:p>
      <w:pPr/>
      <w:r>
        <w:t>The included Press Start 2P font is used for small labels and the opening title. Install assets/pixel.ttf before editing the PPTX if the font is missing. PDF and PNG versions preserve the design. Body text is Arial for readability.</w:t>
      </w:r>
    </w:p>
    <w:p>
      <w:r>
        <w:br w:type="page"/>
      </w:r>
    </w:p>
    <w:p>
      <w:pPr>
        <w:pStyle w:val="Heading1"/>
      </w:pPr>
      <w:r>
        <w:t>Spot the change</w:t>
      </w:r>
    </w:p>
    <w:p>
      <w:pPr>
        <w:pStyle w:val="Heading2"/>
      </w:pPr>
      <w:r>
        <w:t>0:00–0:15 | Slide 1: Childhood, remade.</w:t>
      </w:r>
    </w:p>
    <w:p>
      <w:pPr/>
      <w:r>
        <w:t>A toy can carry a memory. This project explores working adults in Thailand returning to squishies and slime. Could those memories support a more personal product? Meet REPLAY LAB.</w:t>
      </w:r>
    </w:p>
    <w:p>
      <w:pPr/>
      <w:r>
        <w:rPr>
          <w:i/>
          <w:color w:val="76647C"/>
          <w:sz w:val="18"/>
        </w:rPr>
        <w:t>Visual: Open with the original pixel-art childhood desk. It illustrates the concept and is not fieldwork.</w:t>
      </w:r>
    </w:p>
    <w:p>
      <w:pPr>
        <w:pStyle w:val="Heading2"/>
      </w:pPr>
      <w:r>
        <w:t>0:15–0:40 | Slide 2: Old toys. New spending power.</w:t>
      </w:r>
    </w:p>
    <w:p>
      <w:pPr/>
      <w:r>
        <w:t>Thai PBS World reported a toy revival at Sampheng in June twenty twenty-six. A vendor described working adults buying toys they had wanted as children but could not afford. Social reviews brought the toys back into view. This is a local signal, not a measure of the whole Thai market.</w:t>
      </w:r>
    </w:p>
    <w:p>
      <w:pPr/>
      <w:r>
        <w:rPr>
          <w:i/>
          <w:color w:val="76647C"/>
          <w:sz w:val="18"/>
        </w:rPr>
        <w:t>Visual: Show the dated Sampheng account, then the change in the buyer’s situation. Source S1.</w:t>
      </w:r>
    </w:p>
    <w:p>
      <w:pPr>
        <w:pStyle w:val="Heading2"/>
      </w:pPr>
      <w:r>
        <w:t>0:40–1:00 | Slide 3: Check who is actually buying.</w:t>
      </w:r>
    </w:p>
    <w:p>
      <w:pPr/>
      <w:r>
        <w:t>Original fieldwork is still pending. Thairath’s Mega Plaza visit mainly found children and teenagers, so I need to confirm adult buyers directly. My questionnaire asks about actual purchases, childhood memories and social discovery before introducing REPLAY LAB.</w:t>
      </w:r>
    </w:p>
    <w:p>
      <w:pPr/>
      <w:r>
        <w:rPr>
          <w:i/>
          <w:color w:val="76647C"/>
          <w:sz w:val="18"/>
        </w:rPr>
        <w:t>Visual: Replace the pending panel with your dated photo, actual interview counts and one consented quote. The second report is not personal evidence. S2.</w:t>
      </w:r>
    </w:p>
    <w:p>
      <w:r>
        <w:br w:type="page"/>
      </w:r>
    </w:p>
    <w:p>
      <w:pPr>
        <w:pStyle w:val="Heading1"/>
      </w:pPr>
      <w:r>
        <w:t>Explain the consumer</w:t>
      </w:r>
    </w:p>
    <w:p>
      <w:pPr>
        <w:pStyle w:val="Heading2"/>
      </w:pPr>
      <w:r>
        <w:t>1:00–1:30 | Slide 4: The memory changes the value.</w:t>
      </w:r>
    </w:p>
    <w:p>
      <w:pPr/>
      <w:r>
        <w:t>Emotional motivation explains why a familiar toy can matter beyond its practical use. In the Sampheng account, adult income makes a childhood wish possible. My interpretation is that the purchase combines enjoyment, memory and personal choice. REPLAY LAB builds on this meaning by inviting buyers to contribute a childhood theme. Whether they would pay more still needs testing.</w:t>
      </w:r>
    </w:p>
    <w:p>
      <w:pPr/>
      <w:r>
        <w:rPr>
          <w:i/>
          <w:color w:val="76647C"/>
          <w:sz w:val="18"/>
        </w:rPr>
        <w:t>Visual: Separate the source account from the interpretation. Use the pixel pencil case and game console as original concept objects. S1.</w:t>
      </w:r>
    </w:p>
    <w:p>
      <w:pPr>
        <w:pStyle w:val="Heading2"/>
      </w:pPr>
      <w:r>
        <w:t>1:30–2:05 | Slide 5: Social discovery brings the idea back.</w:t>
      </w:r>
    </w:p>
    <w:p>
      <w:pPr/>
      <w:r>
        <w:t>Social influence helps explain rediscovery. Thai PBS World links renewed attention to influencer and celebrity reviews. Seeing other adults enjoying toys may also make buying feel more acceptable. But discovery and motivation differ: a review may attract attention while a memory explains the spending. Shared designs could spread REPLAY LAB, but a vote or shared link is not a paid order.</w:t>
      </w:r>
    </w:p>
    <w:p>
      <w:pPr/>
      <w:r>
        <w:rPr>
          <w:i/>
          <w:color w:val="76647C"/>
          <w:sz w:val="18"/>
        </w:rPr>
        <w:t>Visual: Show reported discovery, interpreted motivation and the proposed sharing feature as separate stages. Avoid invented view totals or social proof. S1.</w:t>
      </w:r>
    </w:p>
    <w:p>
      <w:r>
        <w:br w:type="page"/>
      </w:r>
    </w:p>
    <w:p>
      <w:pPr>
        <w:pStyle w:val="Heading1"/>
      </w:pPr>
      <w:r>
        <w:t>Find the opportunity</w:t>
      </w:r>
    </w:p>
    <w:p>
      <w:pPr>
        <w:pStyle w:val="Heading2"/>
      </w:pPr>
      <w:r>
        <w:t>2:05–2:25 | Slide 6: A familiar feeling. A chosen design.</w:t>
      </w:r>
    </w:p>
    <w:p>
      <w:pPr/>
      <w:r>
        <w:t>Thairath describes slow rebound, scents and nostalgic interest. REPLAY LAB combines sensory choice with childhood themes: a pencil case, star sticker or old game controller. A small range of shared shapes keeps production manageable.</w:t>
      </w:r>
    </w:p>
    <w:p>
      <w:pPr/>
      <w:r>
        <w:rPr>
          <w:i/>
          <w:color w:val="76647C"/>
          <w:sz w:val="18"/>
        </w:rPr>
        <w:t>Visual: Show example original designs. These are proposed themes, not observed customer preferences. S2 supports the sensory product context.</w:t>
      </w:r>
    </w:p>
    <w:p>
      <w:pPr>
        <w:pStyle w:val="Heading2"/>
      </w:pPr>
      <w:r>
        <w:t>2:25–3:00 | Slide 7: Design it. Test demand. Make a batch.</w:t>
      </w:r>
    </w:p>
    <w:p>
      <w:pPr/>
      <w:r>
        <w:t>Here is the website demo. Choose squishy or slime, adjust colours and sensory options, then add a name and memory. Save the design or share its appearance. In the proposed business, selected themes become small collections. Pre-orders would open after supplier costs and samples are checked. Production begins only when the minimum batch is met; otherwise buyers receive refunds. This demo takes no payments.</w:t>
      </w:r>
    </w:p>
    <w:p>
      <w:pPr/>
      <w:r>
        <w:rPr>
          <w:i/>
          <w:color w:val="76647C"/>
          <w:sz w:val="18"/>
        </w:rPr>
        <w:t>Visual: Show the actual studio screenshot or record the live designer while speaking. Demonstrate colour, save and share inside this segment; do not add a separate demo. Memory text is excluded from share links. Reservations are simulated.</w:t>
      </w:r>
    </w:p>
    <w:p>
      <w:pPr>
        <w:pStyle w:val="Heading2"/>
      </w:pPr>
      <w:r>
        <w:t>3:00–3:20 | Slide 8: Make the difference specific.</w:t>
      </w:r>
    </w:p>
    <w:p>
      <w:pPr/>
      <w:r>
        <w:t>Custom squishies already exist. Our proposed difference combines shared Thai childhood memories, adult desk use and collections chosen with customers. Revenue comes from product sales. Shared shapes limit complexity while colours, names and memory cards add personal meaning.</w:t>
      </w:r>
    </w:p>
    <w:p>
      <w:pPr/>
      <w:r>
        <w:rPr>
          <w:i/>
          <w:color w:val="76647C"/>
          <w:sz w:val="18"/>
        </w:rPr>
        <w:t>Visual: Show the shared-shape versus personal-detail diagram. Cite S5 for existing custom squishies; do not claim to be the first in the world.</w:t>
      </w:r>
    </w:p>
    <w:p>
      <w:r>
        <w:br w:type="page"/>
      </w:r>
    </w:p>
    <w:p>
      <w:pPr>
        <w:pStyle w:val="Heading1"/>
      </w:pPr>
      <w:r>
        <w:t>Evaluate the opportunity</w:t>
      </w:r>
    </w:p>
    <w:p>
      <w:pPr>
        <w:pStyle w:val="Heading2"/>
      </w:pPr>
      <w:r>
        <w:t>3:20–3:55 | Slide 9: Three risks need an answer.</w:t>
      </w:r>
    </w:p>
    <w:p>
      <w:pPr/>
      <w:r>
        <w:t>Three risks matter. Customers may prefer a cheaper ready-made toy. Custom options can increase mistakes, delays and costs. Nostalgia may also prompt only one purchase. Quality needs attention: the consumer protection office reported incomplete labels at some Mega Plaza sellers in June. Before real orders, the business needs approved samples, clear product information, realistic delivery dates and workable refunds.</w:t>
      </w:r>
    </w:p>
    <w:p>
      <w:pPr/>
      <w:r>
        <w:rPr>
          <w:i/>
          <w:color w:val="76647C"/>
          <w:sz w:val="18"/>
        </w:rPr>
        <w:t>Visual: Use the three decision rows plus the specific OCPB example. S4 concerns some sellers, not all products.</w:t>
      </w:r>
    </w:p>
    <w:p>
      <w:pPr>
        <w:pStyle w:val="Heading2"/>
      </w:pPr>
      <w:r>
        <w:t>3:55–4:25 | Slide 10: Orders must cover a real batch.</w:t>
      </w:r>
    </w:p>
    <w:p>
      <w:pPr/>
      <w:r>
        <w:t>The numbers on this slide are assumptions. At a price of three hundred forty-nine baht and variable cost of one hundred ninety-nine, contribution is one hundred fifty baht. A setup cost of four thousand five hundred requires thirty units. The actual threshold must also meet the supplier’s minimum quantity. Include all costs and test willingness to pay before production.</w:t>
      </w:r>
    </w:p>
    <w:p>
      <w:pPr/>
      <w:r>
        <w:rPr>
          <w:i/>
          <w:color w:val="76647C"/>
          <w:sz w:val="18"/>
        </w:rPr>
        <w:t>Visual: Show the threshold formula and distinguish demo activity from evidence. Do not present the demo counter as market demand.</w:t>
      </w:r>
    </w:p>
    <w:p>
      <w:pPr>
        <w:pStyle w:val="Heading2"/>
      </w:pPr>
      <w:r>
        <w:t>4:25–4:45 | Slide 11: Start with one collection.</w:t>
      </w:r>
    </w:p>
    <w:p>
      <w:pPr/>
      <w:r>
        <w:t>Start with one collection. Continue only if working adults prefer the concept at a viable price, the supplier delivers consistent quality, and the batch covers its costs. Use the questionnaire to find weaknesses as carefully as enthusiasm.</w:t>
      </w:r>
    </w:p>
    <w:p>
      <w:pPr/>
      <w:r>
        <w:rPr>
          <w:i/>
          <w:color w:val="76647C"/>
          <w:sz w:val="18"/>
        </w:rPr>
        <w:t>Visual: Close on the three pilot gates. If demonstrating the website live, include that time inside the five-minute limit.</w:t>
      </w:r>
    </w:p>
    <w:p>
      <w:pPr>
        <w:pStyle w:val="Heading2"/>
      </w:pPr>
      <w:r>
        <w:t>4:45–4:50 | Slide 12: Sources and demo</w:t>
      </w:r>
    </w:p>
    <w:p>
      <w:pPr/>
      <w:r>
        <w:rPr>
          <w:i/>
          <w:color w:val="76647C"/>
          <w:sz w:val="18"/>
        </w:rPr>
        <w:t>Visual: Silent source card. Slide 13 is a hidden canvas appendix and is outside the video runtime.</w:t>
      </w:r>
    </w:p>
    <w:p>
      <w:r>
        <w:br w:type="page"/>
      </w:r>
    </w:p>
    <w:p>
      <w:pPr>
        <w:pStyle w:val="Heading1"/>
      </w:pPr>
      <w:r>
        <w:t>After fieldwork</w:t>
      </w:r>
    </w:p>
    <w:p>
      <w:pPr/>
      <w:r>
        <w:t>On [DATE], I visited [N] shops in [PLACE] and interviewed [N] working-adult buyers. [X] mentioned childhood memories; [Y] mentioned online reviews. One said, [EXACT QUOTE]. This small convenience sample [supports / complicates] the reported pattern.</w:t>
      </w:r>
    </w:p>
    <w:p>
      <w:pPr/>
      <w:r>
        <w:rPr>
          <w:i/>
          <w:color w:val="76647C"/>
          <w:sz w:val="18"/>
        </w:rPr>
        <w:t>Use only counts and quotations you actually collected. Keep the replacement near 40 words. If adult buyers do not report nostalgia or social discovery, say so and adjust the explanation. Label any translated quote accurately.</w:t>
      </w:r>
    </w:p>
    <w:p>
      <w:pPr>
        <w:pStyle w:val="Heading2"/>
      </w:pPr>
      <w:r>
        <w:t>Likely questions</w:t>
      </w:r>
    </w:p>
    <w:p>
      <w:pPr>
        <w:pStyle w:val="Heading2"/>
      </w:pPr>
      <w:r>
        <w:t>Is this completely new?</w:t>
      </w:r>
    </w:p>
    <w:p>
      <w:pPr/>
      <w:r>
        <w:t>No global novelty claim is made. Custom squishies already exist. The proposed combination is Thai childhood memories, co-design and viable small batches for adult buyers.</w:t>
      </w:r>
    </w:p>
    <w:p>
      <w:pPr>
        <w:pStyle w:val="Heading2"/>
      </w:pPr>
      <w:r>
        <w:t>Why use pre-orders?</w:t>
      </w:r>
    </w:p>
    <w:p>
      <w:pPr/>
      <w:r>
        <w:t>To test commitment before a production run and avoid making an unviable batch. Production still requires supplier checks, clear terms and a workable refund process.</w:t>
      </w:r>
    </w:p>
    <w:p>
      <w:pPr>
        <w:pStyle w:val="Heading2"/>
      </w:pPr>
      <w:r>
        <w:t>What does the website prove?</w:t>
      </w:r>
    </w:p>
    <w:p>
      <w:pPr/>
      <w:r>
        <w:t>It proves the proposed journey can be demonstrated. Browser-local demo clicks and reservations do not prove market demand.</w:t>
      </w:r>
    </w:p>
    <w:p>
      <w:pPr>
        <w:pStyle w:val="Heading2"/>
      </w:pPr>
      <w:r>
        <w:t>How is the threshold calculated?</w:t>
      </w:r>
    </w:p>
    <w:p>
      <w:pPr/>
      <w:r>
        <w:t>Use the higher of the supplier minimum order quantity and fixed setup cost divided by contribution per unit, rounded up. The example assumes THB 349 price, THB 199 variable cost and THB 4,500 fixed cost: 30 units before any higher supplier minimum.</w:t>
      </w:r>
    </w:p>
    <w:p>
      <w:pPr>
        <w:pStyle w:val="Heading2"/>
      </w:pPr>
      <w:r>
        <w:t>What would stop the pilot?</w:t>
      </w:r>
    </w:p>
    <w:p>
      <w:pPr/>
      <w:r>
        <w:t>Low preference at a viable price, inconsistent product quality, weak reservations after real terms are shown, or costs that exceed the batch’s contribution.</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REPLAY LAB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57445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57445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57445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57445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