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REPLAY LAB</w:t>
      </w:r>
    </w:p>
    <w:p>
      <w:pPr/>
      <w:r>
        <w:rPr>
          <w:i/>
          <w:color w:val="776C7B"/>
          <w:sz w:val="18"/>
        </w:rPr>
        <w:t>English presentation script / 18 slides / approximately 8 minutes</w:t>
      </w:r>
    </w:p>
    <w:p>
      <w:pPr>
        <w:pStyle w:val="Heading1"/>
      </w:pPr>
      <w:r>
        <w:t>How to use this script</w:t>
      </w:r>
    </w:p>
    <w:p>
      <w:pPr/>
      <w:r>
        <w:t>1,105 spoken words across 18 slides. Each slide has its own page: read only the text under SAY THIS. The slide title, timing and presenter cues are not spoken. This expanded edition replaces the earlier five-minute version.</w:t>
      </w:r>
    </w:p>
    <w:p>
      <w:pPr>
        <w:pStyle w:val="Heading2"/>
      </w:pPr>
      <w:r>
        <w:t>Timing and delivery</w:t>
      </w:r>
    </w:p>
    <w:p>
      <w:pPr/>
      <w:r>
        <w:t>The planned timeline is 8:00, including the 25-second website demo and the closing source slide. Aim for about 140–150 words per minute, with brief pauses between ideas. The time labels are rehearsal targets, not guaranteed recording duration. Rehearse once and adjust your pace naturally.</w:t>
      </w:r>
    </w:p>
    <w:p>
      <w:pPr/>
      <w:r>
        <w:t>On slide 11, introduce the clip for about 7 seconds, play the 25-second video while reading the middle paragraph, then spend about 8 seconds on the final paragraph. Its full 40-second slot already includes the clip. The video is silent and contains English on-screen instructions.</w:t>
      </w:r>
    </w:p>
    <w:p>
      <w:pPr>
        <w:pStyle w:val="Heading2"/>
      </w:pPr>
      <w:r>
        <w:t>Evidence status</w:t>
      </w:r>
    </w:p>
    <w:p>
      <w:pPr/>
      <w:r>
        <w:t>Slide 4 now includes your informal interview at a market near your internship. The English text paraphrases your account: the interviewee said working adults often come to squeeze and play with the toys. It is not a customer count or a confirmed reason for buying. Market name, date and interviewee role still need confirmation. Demo activity remains simulated.</w:t>
      </w:r>
    </w:p>
    <w:tbl>
      <w:tblPr>
        <w:tblStyle w:val="LightShading-Accent1"/>
        <w:tblW w:type="auto" w:w="0"/>
        <w:tblLook w:firstColumn="1" w:firstRow="1" w:lastColumn="0" w:lastRow="0" w:noHBand="0" w:noVBand="1" w:val="04A0"/>
      </w:tblPr>
      <w:tblGrid>
        <w:gridCol w:w="3250"/>
        <w:gridCol w:w="3250"/>
        <w:gridCol w:w="3250"/>
      </w:tblGrid>
      <w:tr>
        <w:tc>
          <w:tcPr>
            <w:tcW w:type="dxa" w:w="3250"/>
          </w:tcPr>
          <w:p>
            <w:r>
              <w:t>Time</w:t>
            </w:r>
          </w:p>
        </w:tc>
        <w:tc>
          <w:tcPr>
            <w:tcW w:type="dxa" w:w="3250"/>
          </w:tcPr>
          <w:p>
            <w:r>
              <w:t>Slides</w:t>
            </w:r>
          </w:p>
        </w:tc>
        <w:tc>
          <w:tcPr>
            <w:tcW w:type="dxa" w:w="3250"/>
          </w:tcPr>
          <w:p>
            <w:r>
              <w:t>Purpose</w:t>
            </w:r>
          </w:p>
        </w:tc>
      </w:tr>
      <w:tr>
        <w:tc>
          <w:tcPr>
            <w:tcW w:type="dxa" w:w="3250"/>
          </w:tcPr>
          <w:p>
            <w:r>
              <w:t>0:00–1:35</w:t>
            </w:r>
          </w:p>
        </w:tc>
        <w:tc>
          <w:tcPr>
            <w:tcW w:type="dxa" w:w="3250"/>
          </w:tcPr>
          <w:p>
            <w:r>
              <w:t>1–4</w:t>
            </w:r>
          </w:p>
        </w:tc>
        <w:tc>
          <w:tcPr>
            <w:tcW w:type="dxa" w:w="3250"/>
          </w:tcPr>
          <w:p>
            <w:r>
              <w:t>Opening, reported signal and evidence limits</w:t>
            </w:r>
          </w:p>
        </w:tc>
      </w:tr>
      <w:tr>
        <w:tc>
          <w:tcPr>
            <w:tcW w:type="dxa" w:w="3250"/>
          </w:tcPr>
          <w:p>
            <w:r>
              <w:t>1:35–3:00</w:t>
            </w:r>
          </w:p>
        </w:tc>
        <w:tc>
          <w:tcPr>
            <w:tcW w:type="dxa" w:w="3250"/>
          </w:tcPr>
          <w:p>
            <w:r>
              <w:t>5–7</w:t>
            </w:r>
          </w:p>
        </w:tc>
        <w:tc>
          <w:tcPr>
            <w:tcW w:type="dxa" w:w="3250"/>
          </w:tcPr>
          <w:p>
            <w:r>
              <w:t>Target customer and consumer behaviour</w:t>
            </w:r>
          </w:p>
        </w:tc>
      </w:tr>
      <w:tr>
        <w:tc>
          <w:tcPr>
            <w:tcW w:type="dxa" w:w="3250"/>
          </w:tcPr>
          <w:p>
            <w:r>
              <w:t>3:00–5:45</w:t>
            </w:r>
          </w:p>
        </w:tc>
        <w:tc>
          <w:tcPr>
            <w:tcW w:type="dxa" w:w="3250"/>
          </w:tcPr>
          <w:p>
            <w:r>
              <w:t>8–13</w:t>
            </w:r>
          </w:p>
        </w:tc>
        <w:tc>
          <w:tcPr>
            <w:tcW w:type="dxa" w:w="3250"/>
          </w:tcPr>
          <w:p>
            <w:r>
              <w:t>Value, products, design, demo and revenue</w:t>
            </w:r>
          </w:p>
        </w:tc>
      </w:tr>
      <w:tr>
        <w:tc>
          <w:tcPr>
            <w:tcW w:type="dxa" w:w="3250"/>
          </w:tcPr>
          <w:p>
            <w:r>
              <w:t>5:45–7:50</w:t>
            </w:r>
          </w:p>
        </w:tc>
        <w:tc>
          <w:tcPr>
            <w:tcW w:type="dxa" w:w="3250"/>
          </w:tcPr>
          <w:p>
            <w:r>
              <w:t>14–17</w:t>
            </w:r>
          </w:p>
        </w:tc>
        <w:tc>
          <w:tcPr>
            <w:tcW w:type="dxa" w:w="3250"/>
          </w:tcPr>
          <w:p>
            <w:r>
              <w:t>Risks, economics, validation and recommendation</w:t>
            </w:r>
          </w:p>
        </w:tc>
      </w:tr>
      <w:tr>
        <w:tc>
          <w:tcPr>
            <w:tcW w:type="dxa" w:w="3250"/>
          </w:tcPr>
          <w:p>
            <w:r>
              <w:t>7:50–8:00</w:t>
            </w:r>
          </w:p>
        </w:tc>
        <w:tc>
          <w:tcPr>
            <w:tcW w:type="dxa" w:w="3250"/>
          </w:tcPr>
          <w:p>
            <w:r>
              <w:t>18</w:t>
            </w:r>
          </w:p>
        </w:tc>
        <w:tc>
          <w:tcPr>
            <w:tcW w:type="dxa" w:w="3250"/>
          </w:tcPr>
          <w:p>
            <w:r>
              <w:t>Sources and spoken closing</w:t>
            </w:r>
          </w:p>
        </w:tc>
      </w:tr>
    </w:tbl>
    <w:p>
      <w:r>
        <w:br w:type="page"/>
      </w:r>
    </w:p>
    <w:p>
      <w:pPr>
        <w:pStyle w:val="Heading1"/>
      </w:pPr>
      <w:r>
        <w:t>SLIDE 01 / Good memories. Made tangible.</w:t>
      </w:r>
    </w:p>
    <w:p>
      <w:pPr/>
      <w:r>
        <w:rPr>
          <w:i/>
          <w:color w:val="776C7B"/>
          <w:sz w:val="18"/>
        </w:rPr>
        <w:t>0:00–0:20 | 20 seconds | 46 spoken words</w:t>
      </w:r>
    </w:p>
    <w:p>
      <w:pPr>
        <w:pStyle w:val="Heading2"/>
      </w:pPr>
      <w:r>
        <w:t>SAY THIS</w:t>
      </w:r>
    </w:p>
    <w:p>
      <w:pPr/>
      <w:r>
        <w:t>Hello everyone. Think about a toy you wanted as a child but never bought. What would it mean to buy it today, with your own money? That question is the starting point for REPLAY LAB: a proposed business connecting childhood memories with personalised squishies and slime.</w:t>
      </w:r>
    </w:p>
    <w:p>
      <w:pPr>
        <w:pStyle w:val="Heading2"/>
      </w:pPr>
      <w:r>
        <w:t>PRESENTER CUE — do not read aloud</w:t>
      </w:r>
    </w:p>
    <w:p>
      <w:pPr/>
      <w:r>
        <w:rPr>
          <w:i/>
          <w:color w:val="776C7B"/>
          <w:sz w:val="18"/>
        </w:rPr>
        <w:t>Open on the original product artwork and brand promise. It is concept art, not fieldwork.</w:t>
      </w:r>
    </w:p>
    <w:p>
      <w:r>
        <w:br w:type="page"/>
      </w:r>
    </w:p>
    <w:p>
      <w:pPr>
        <w:pStyle w:val="Heading1"/>
      </w:pPr>
      <w:r>
        <w:t>SLIDE 02 / A revival worth investigating.</w:t>
      </w:r>
    </w:p>
    <w:p>
      <w:pPr/>
      <w:r>
        <w:rPr>
          <w:i/>
          <w:color w:val="776C7B"/>
          <w:sz w:val="18"/>
        </w:rPr>
        <w:t>0:20–0:45 | 25 seconds | 61 spoken words</w:t>
      </w:r>
    </w:p>
    <w:p>
      <w:pPr>
        <w:pStyle w:val="Heading2"/>
      </w:pPr>
      <w:r>
        <w:t>SAY THIS</w:t>
      </w:r>
    </w:p>
    <w:p>
      <w:pPr/>
      <w:r>
        <w:t>First, let us look at the signal behind this idea. Thai PBS World reported renewed interest in squishies and slime at Sampheng in June twenty twenty-six. Thairath also covered a revival at Mega Plaza. These reports give us a reason to investigate. However, they describe particular places and moments, rather than proving the size or future growth of the whole market.</w:t>
      </w:r>
    </w:p>
    <w:p>
      <w:pPr>
        <w:pStyle w:val="Heading2"/>
      </w:pPr>
      <w:r>
        <w:t>PRESENTER CUE — do not read aloud</w:t>
      </w:r>
    </w:p>
    <w:p>
      <w:pPr/>
      <w:r>
        <w:rPr>
          <w:i/>
          <w:color w:val="776C7B"/>
          <w:sz w:val="18"/>
        </w:rPr>
        <w:t>Compare the two dated sources. S1 supports the reported adult-return account; S2 supports the broader sensory-toy revival.</w:t>
      </w:r>
    </w:p>
    <w:p>
      <w:r>
        <w:br w:type="page"/>
      </w:r>
    </w:p>
    <w:p>
      <w:pPr>
        <w:pStyle w:val="Heading1"/>
      </w:pPr>
      <w:r>
        <w:t>SLIDE 03 / The toy is familiar. The buyer’s situation has changed.</w:t>
      </w:r>
    </w:p>
    <w:p>
      <w:pPr/>
      <w:r>
        <w:rPr>
          <w:i/>
          <w:color w:val="776C7B"/>
          <w:sz w:val="18"/>
        </w:rPr>
        <w:t>0:45–1:10 | 25 seconds | 59 spoken words</w:t>
      </w:r>
    </w:p>
    <w:p>
      <w:pPr>
        <w:pStyle w:val="Heading2"/>
      </w:pPr>
      <w:r>
        <w:t>SAY THIS</w:t>
      </w:r>
    </w:p>
    <w:p>
      <w:pPr/>
      <w:r>
        <w:t>The interesting change is not simply that toys are popular again. It is that some buyers now have a different relationship with them. The Sampheng report includes a vendor’s account of working adults buying toys they wanted when they were younger. A childhood wish that once depended on their parents can now become a purchase they choose for themselves.</w:t>
      </w:r>
    </w:p>
    <w:p>
      <w:pPr>
        <w:pStyle w:val="Heading2"/>
      </w:pPr>
      <w:r>
        <w:t>PRESENTER CUE — do not read aloud</w:t>
      </w:r>
    </w:p>
    <w:p>
      <w:pPr/>
      <w:r>
        <w:rPr>
          <w:i/>
          <w:color w:val="776C7B"/>
          <w:sz w:val="18"/>
        </w:rPr>
        <w:t>Show the before/after buying context. These are analytical labels, not participant quotations. Cite S1.</w:t>
      </w:r>
    </w:p>
    <w:p>
      <w:r>
        <w:br w:type="page"/>
      </w:r>
    </w:p>
    <w:p>
      <w:pPr>
        <w:pStyle w:val="Heading1"/>
      </w:pPr>
      <w:r>
        <w:t>SLIDE 04 / A local interview. A signal of adult interest.</w:t>
      </w:r>
    </w:p>
    <w:p>
      <w:pPr/>
      <w:r>
        <w:rPr>
          <w:i/>
          <w:color w:val="776C7B"/>
          <w:sz w:val="18"/>
        </w:rPr>
        <w:t>1:10–1:35 | 25 seconds | 58 spoken words</w:t>
      </w:r>
    </w:p>
    <w:p>
      <w:pPr>
        <w:pStyle w:val="Heading2"/>
      </w:pPr>
      <w:r>
        <w:t>SAY THIS</w:t>
      </w:r>
    </w:p>
    <w:p>
      <w:pPr/>
      <w:r>
        <w:t>For my own evidence, I interviewed someone at a market near my internship. They told me that working adults also often come to squeeze and play with these toys. This suggests interest in the hands-on experience. However, it is an interview account, not a count of customers. It does not establish purchases, childhood nostalgia or growth over time.</w:t>
      </w:r>
    </w:p>
    <w:p>
      <w:pPr>
        <w:pStyle w:val="Heading2"/>
      </w:pPr>
      <w:r>
        <w:t>PRESENTER CUE — do not read aloud</w:t>
      </w:r>
    </w:p>
    <w:p>
      <w:pPr/>
      <w:r>
        <w:rPr>
          <w:i/>
          <w:color w:val="776C7B"/>
          <w:sz w:val="18"/>
        </w:rPr>
        <w:t>Present S6 as an English paraphrase of the informal interview you described, not a verbatim quotation or direct observation. The market name, interview date and interviewee role have not yet been supplied. Add these only when confirmed. Do not turn the description of many adults into a numerical result.</w:t>
      </w:r>
    </w:p>
    <w:p>
      <w:r>
        <w:br w:type="page"/>
      </w:r>
    </w:p>
    <w:p>
      <w:pPr>
        <w:pStyle w:val="Heading1"/>
      </w:pPr>
      <w:r>
        <w:t>SLIDE 05 / Design for a specific buyer.</w:t>
      </w:r>
    </w:p>
    <w:p>
      <w:pPr/>
      <w:r>
        <w:rPr>
          <w:i/>
          <w:color w:val="776C7B"/>
          <w:sz w:val="18"/>
        </w:rPr>
        <w:t>1:35–2:00 | 25 seconds | 61 spoken words</w:t>
      </w:r>
    </w:p>
    <w:p>
      <w:pPr>
        <w:pStyle w:val="Heading2"/>
      </w:pPr>
      <w:r>
        <w:t>SAY THIS</w:t>
      </w:r>
    </w:p>
    <w:p>
      <w:pPr/>
      <w:r>
        <w:t>Based on that signal, my proposed target is early-career Thai adults who buy toys for themselves, rather than for children. They might keep a small object on a desk, display it at home, or enjoy using it during a break. These are possible use situations to test. The key question is which memories and product features matter to this specific group.</w:t>
      </w:r>
    </w:p>
    <w:p>
      <w:pPr>
        <w:pStyle w:val="Heading2"/>
      </w:pPr>
      <w:r>
        <w:t>PRESENTER CUE — do not read aloud</w:t>
      </w:r>
    </w:p>
    <w:p>
      <w:pPr/>
      <w:r>
        <w:rPr>
          <w:i/>
          <w:color w:val="776C7B"/>
          <w:sz w:val="18"/>
        </w:rPr>
        <w:t>Identify the proposed target and use context. Do not describe this as a researched persona.</w:t>
      </w:r>
    </w:p>
    <w:p>
      <w:r>
        <w:br w:type="page"/>
      </w:r>
    </w:p>
    <w:p>
      <w:pPr>
        <w:pStyle w:val="Heading1"/>
      </w:pPr>
      <w:r>
        <w:t>SLIDE 06 / Memory can change what a toy is worth.</w:t>
      </w:r>
    </w:p>
    <w:p>
      <w:pPr/>
      <w:r>
        <w:rPr>
          <w:i/>
          <w:color w:val="776C7B"/>
          <w:sz w:val="18"/>
        </w:rPr>
        <w:t>2:00–2:30 | 30 seconds | 64 spoken words</w:t>
      </w:r>
    </w:p>
    <w:p>
      <w:pPr>
        <w:pStyle w:val="Heading2"/>
      </w:pPr>
      <w:r>
        <w:t>SAY THIS</w:t>
      </w:r>
    </w:p>
    <w:p>
      <w:pPr/>
      <w:r>
        <w:t>The first consumer behaviour concept is emotional motivation. My interview account points to the appeal of touching and playing with the toys. The published report adds a possible link to childhood wishes. I interpret these as two possible benefits: sensory enjoyment and personal meaning. However, the interview did not establish nostalgia or willingness to pay. Those explanations still need direct questions to adult buyers.</w:t>
      </w:r>
    </w:p>
    <w:p>
      <w:pPr>
        <w:pStyle w:val="Heading2"/>
      </w:pPr>
      <w:r>
        <w:t>PRESENTER CUE — do not read aloud</w:t>
      </w:r>
    </w:p>
    <w:p>
      <w:pPr/>
      <w:r>
        <w:rPr>
          <w:i/>
          <w:color w:val="776C7B"/>
          <w:sz w:val="18"/>
        </w:rPr>
        <w:t>Separate S6, which reports adult squeezing and playing, from S1, which supplies the childhood-wish account. Sensory enjoyment and nostalgia are interpretations, not motives confirmed by the local interview.</w:t>
      </w:r>
    </w:p>
    <w:p>
      <w:r>
        <w:br w:type="page"/>
      </w:r>
    </w:p>
    <w:p>
      <w:pPr>
        <w:pStyle w:val="Heading1"/>
      </w:pPr>
      <w:r>
        <w:t>SLIDE 07 / Discovery gets attention. Meaning may explain the purchase.</w:t>
      </w:r>
    </w:p>
    <w:p>
      <w:pPr/>
      <w:r>
        <w:rPr>
          <w:i/>
          <w:color w:val="776C7B"/>
          <w:sz w:val="18"/>
        </w:rPr>
        <w:t>2:30–3:00 | 30 seconds | 72 spoken words</w:t>
      </w:r>
    </w:p>
    <w:p>
      <w:pPr>
        <w:pStyle w:val="Heading2"/>
      </w:pPr>
      <w:r>
        <w:t>SAY THIS</w:t>
      </w:r>
    </w:p>
    <w:p>
      <w:pPr/>
      <w:r>
        <w:t>The second concept is social influence. Online reviews can bring an old toy back into someone’s attention. Seeing other adults enjoy it may also make the purchase feel more acceptable. But discovery and motivation are different. A review could make someone notice a squishy, while a personal memory gives them a reason to choose it. We therefore need to ask both how they discovered the toy and why they actually bought it.</w:t>
      </w:r>
    </w:p>
    <w:p>
      <w:pPr>
        <w:pStyle w:val="Heading2"/>
      </w:pPr>
      <w:r>
        <w:t>PRESENTER CUE — do not read aloud</w:t>
      </w:r>
    </w:p>
    <w:p>
      <w:pPr/>
      <w:r>
        <w:rPr>
          <w:i/>
          <w:color w:val="776C7B"/>
          <w:sz w:val="18"/>
        </w:rPr>
        <w:t>Follow reported discovery, interpreted relevance and a real choice still to test. S1 supports the first stage.</w:t>
      </w:r>
    </w:p>
    <w:p>
      <w:r>
        <w:br w:type="page"/>
      </w:r>
    </w:p>
    <w:p>
      <w:pPr>
        <w:pStyle w:val="Heading1"/>
      </w:pPr>
      <w:r>
        <w:t>SLIDE 08 / Bring a familiar memory into my everyday life.</w:t>
      </w:r>
    </w:p>
    <w:p>
      <w:pPr/>
      <w:r>
        <w:rPr>
          <w:i/>
          <w:color w:val="776C7B"/>
          <w:sz w:val="18"/>
        </w:rPr>
        <w:t>3:00–3:25 | 25 seconds | 58 spoken words</w:t>
      </w:r>
    </w:p>
    <w:p>
      <w:pPr>
        <w:pStyle w:val="Heading2"/>
      </w:pPr>
      <w:r>
        <w:t>SAY THIS</w:t>
      </w:r>
    </w:p>
    <w:p>
      <w:pPr/>
      <w:r>
        <w:t>These ideas lead to the proposed value: bring a familiar memory into everyday life. REPLAY LAB combines three benefits. Meaning comes from a childhood reference. Choice comes from personal details. Confidence would come from clear samples, prices and order terms. The business needs to test whether customers value this combination enough to choose it over an ordinary toy.</w:t>
      </w:r>
    </w:p>
    <w:p>
      <w:pPr>
        <w:pStyle w:val="Heading2"/>
      </w:pPr>
      <w:r>
        <w:t>PRESENTER CUE — do not read aloud</w:t>
      </w:r>
    </w:p>
    <w:p>
      <w:pPr/>
      <w:r>
        <w:rPr>
          <w:i/>
          <w:color w:val="776C7B"/>
          <w:sz w:val="18"/>
        </w:rPr>
        <w:t>Present the proposed customer job and the three benefits. This is a value hypothesis.</w:t>
      </w:r>
    </w:p>
    <w:p>
      <w:r>
        <w:br w:type="page"/>
      </w:r>
    </w:p>
    <w:p>
      <w:pPr>
        <w:pStyle w:val="Heading1"/>
      </w:pPr>
      <w:r>
        <w:t>SLIDE 09 / A shared memory. A personal object.</w:t>
      </w:r>
    </w:p>
    <w:p>
      <w:pPr/>
      <w:r>
        <w:rPr>
          <w:i/>
          <w:color w:val="776C7B"/>
          <w:sz w:val="18"/>
        </w:rPr>
        <w:t>3:25–3:50 | 25 seconds | 59 spoken words</w:t>
      </w:r>
    </w:p>
    <w:p>
      <w:pPr>
        <w:pStyle w:val="Heading2"/>
      </w:pPr>
      <w:r>
        <w:t>SAY THIS</w:t>
      </w:r>
    </w:p>
    <w:p>
      <w:pPr/>
      <w:r>
        <w:t>Here are three starting concepts: a pencil-case squishy, a gamepad squishy and cloud slime. Each suggests a different childhood moment, such as school supplies, weekend games or a treat after school. These are proposed themes, not proven customer preferences. Starting with a small selection would let us test which theme connects with buyers before spending money on more designs.</w:t>
      </w:r>
    </w:p>
    <w:p>
      <w:pPr>
        <w:pStyle w:val="Heading2"/>
      </w:pPr>
      <w:r>
        <w:t>PRESENTER CUE — do not read aloud</w:t>
      </w:r>
    </w:p>
    <w:p>
      <w:pPr/>
      <w:r>
        <w:rPr>
          <w:i/>
          <w:color w:val="776C7B"/>
          <w:sz w:val="18"/>
        </w:rPr>
        <w:t>Show actual prototype artwork. The themes are proposed, not observed customer preferences. S2 supplies sensory-product context.</w:t>
      </w:r>
    </w:p>
    <w:p>
      <w:r>
        <w:br w:type="page"/>
      </w:r>
    </w:p>
    <w:p>
      <w:pPr>
        <w:pStyle w:val="Heading1"/>
      </w:pPr>
      <w:r>
        <w:t>SLIDE 10 / Four choices. One personal object.</w:t>
      </w:r>
    </w:p>
    <w:p>
      <w:pPr/>
      <w:r>
        <w:rPr>
          <w:i/>
          <w:color w:val="776C7B"/>
          <w:sz w:val="18"/>
        </w:rPr>
        <w:t>3:50–4:15 | 25 seconds | 61 spoken words</w:t>
      </w:r>
    </w:p>
    <w:p>
      <w:pPr>
        <w:pStyle w:val="Heading2"/>
      </w:pPr>
      <w:r>
        <w:t>SAY THIS</w:t>
      </w:r>
    </w:p>
    <w:p>
      <w:pPr/>
      <w:r>
        <w:t>The website turns that idea into four design steps: shape, colour, feel and story. A customer chooses the product, changes its appearance, selects sensory preferences and adds a name or memory. For a desk, they might prefer quiet and unscented options. The screen demonstrates those choices, but it cannot prove the real texture or smell. Physical samples would still be essential.</w:t>
      </w:r>
    </w:p>
    <w:p>
      <w:pPr>
        <w:pStyle w:val="Heading2"/>
      </w:pPr>
      <w:r>
        <w:t>PRESENTER CUE — do not read aloud</w:t>
      </w:r>
    </w:p>
    <w:p>
      <w:pPr/>
      <w:r>
        <w:rPr>
          <w:i/>
          <w:color w:val="776C7B"/>
          <w:sz w:val="18"/>
        </w:rPr>
        <w:t>Follow the four studio steps. Explain that real textures and scents need supplier-made samples.</w:t>
      </w:r>
    </w:p>
    <w:p>
      <w:r>
        <w:br w:type="page"/>
      </w:r>
    </w:p>
    <w:p>
      <w:pPr>
        <w:pStyle w:val="Heading1"/>
      </w:pPr>
      <w:r>
        <w:t>SLIDE 11 / From a memory to a viable batch.</w:t>
      </w:r>
    </w:p>
    <w:p>
      <w:pPr/>
      <w:r>
        <w:rPr>
          <w:i/>
          <w:color w:val="776C7B"/>
          <w:sz w:val="18"/>
        </w:rPr>
        <w:t>4:15–4:55 | 40 seconds | 79 spoken words</w:t>
      </w:r>
    </w:p>
    <w:p>
      <w:pPr>
        <w:pStyle w:val="Heading2"/>
      </w:pPr>
      <w:r>
        <w:t>SAY THIS</w:t>
      </w:r>
    </w:p>
    <w:p>
      <w:pPr/>
      <w:r>
        <w:t>Let me show how the prototype works, from design to a saved reservation.</w:t>
      </w:r>
    </w:p>
    <w:p>
      <w:pPr/>
      <w:r>
        <w:t>First, choose a gamepad shape. Change its colour, then name it Saturday Save Point. Save the design and add it to the demo bag. Review the illustrative price and confirm that this is a simulation. After confirming, the reservation appears in the notebook. No payment is taken and no product is ordered.</w:t>
      </w:r>
    </w:p>
    <w:p>
      <w:pPr/>
      <w:r>
        <w:t>A real launch would also need supplier checks and clear production or refund terms.</w:t>
      </w:r>
    </w:p>
    <w:p>
      <w:pPr>
        <w:pStyle w:val="Heading2"/>
      </w:pPr>
      <w:r>
        <w:t>PRESENTER CUE — do not read aloud</w:t>
      </w:r>
    </w:p>
    <w:p>
      <w:pPr/>
      <w:r>
        <w:rPr>
          <w:i/>
          <w:color w:val="776C7B"/>
          <w:sz w:val="18"/>
        </w:rPr>
        <w:t>0–7 seconds: read the introduction with the poster visible. At 7 seconds, click the embedded 25-second MP4 and read the middle paragraph over it. Use the final 8 seconds for the closing paragraph. The full 40-second slide slot already includes the demo; do not add another 25 seconds. Use the standalone MP4 if your presentation application cannot play the embedded clip.</w:t>
      </w:r>
    </w:p>
    <w:p>
      <w:r>
        <w:br w:type="page"/>
      </w:r>
    </w:p>
    <w:p>
      <w:pPr>
        <w:pStyle w:val="Heading1"/>
      </w:pPr>
      <w:r>
        <w:t>SLIDE 12 / Personal meaning. Manageable production.</w:t>
      </w:r>
    </w:p>
    <w:p>
      <w:pPr/>
      <w:r>
        <w:rPr>
          <w:i/>
          <w:color w:val="776C7B"/>
          <w:sz w:val="18"/>
        </w:rPr>
        <w:t>4:55–5:20 | 25 seconds | 61 spoken words</w:t>
      </w:r>
    </w:p>
    <w:p>
      <w:pPr>
        <w:pStyle w:val="Heading2"/>
      </w:pPr>
      <w:r>
        <w:t>SAY THIS</w:t>
      </w:r>
    </w:p>
    <w:p>
      <w:pPr/>
      <w:r>
        <w:t>This raises an important business question: how can we offer personal meaning without making every item completely from scratch? My proposal uses shared shapes within a collection, while customers choose selected details and memory cards. Custom squishies already exist, so I am not claiming global originality. The proposed difference is the combination of Thai childhood memories, adult use and customer participation.</w:t>
      </w:r>
    </w:p>
    <w:p>
      <w:pPr>
        <w:pStyle w:val="Heading2"/>
      </w:pPr>
      <w:r>
        <w:t>PRESENTER CUE — do not read aloud</w:t>
      </w:r>
    </w:p>
    <w:p>
      <w:pPr/>
      <w:r>
        <w:rPr>
          <w:i/>
          <w:color w:val="776C7B"/>
          <w:sz w:val="18"/>
        </w:rPr>
        <w:t>Compare shared recipe and personal details. S5 demonstrates existing custom squishies; do not claim global novelty.</w:t>
      </w:r>
    </w:p>
    <w:p>
      <w:r>
        <w:br w:type="page"/>
      </w:r>
    </w:p>
    <w:p>
      <w:pPr>
        <w:pStyle w:val="Heading1"/>
      </w:pPr>
      <w:r>
        <w:t>SLIDE 13 / Sell the object. Keep the options focused.</w:t>
      </w:r>
    </w:p>
    <w:p>
      <w:pPr/>
      <w:r>
        <w:rPr>
          <w:i/>
          <w:color w:val="776C7B"/>
          <w:sz w:val="18"/>
        </w:rPr>
        <w:t>5:20–5:45 | 25 seconds | 62 spoken words</w:t>
      </w:r>
    </w:p>
    <w:p>
      <w:pPr>
        <w:pStyle w:val="Heading2"/>
      </w:pPr>
      <w:r>
        <w:t>SAY THIS</w:t>
      </w:r>
    </w:p>
    <w:p>
      <w:pPr/>
      <w:r>
        <w:t>Revenue would come from selling the products and a limited range of upgrades. In the demo, squishies start at three hundred forty-nine baht and slime at two hundred ninety-nine baht. Larger sizes, finishing details or gift sleeves add to the price. These are illustrative amounts. We still need supplier quotes and customer testing to find a price that works for both sides.</w:t>
      </w:r>
    </w:p>
    <w:p>
      <w:pPr>
        <w:pStyle w:val="Heading2"/>
      </w:pPr>
      <w:r>
        <w:t>PRESENTER CUE — do not read aloud</w:t>
      </w:r>
    </w:p>
    <w:p>
      <w:pPr/>
      <w:r>
        <w:rPr>
          <w:i/>
          <w:color w:val="776C7B"/>
          <w:sz w:val="18"/>
        </w:rPr>
        <w:t>Present sample catalogue prices and optional upgrades as assumptions. Actual delivery costs and product terms remain unconfirmed.</w:t>
      </w:r>
    </w:p>
    <w:p>
      <w:r>
        <w:br w:type="page"/>
      </w:r>
    </w:p>
    <w:p>
      <w:pPr>
        <w:pStyle w:val="Heading1"/>
      </w:pPr>
      <w:r>
        <w:t>SLIDE 14 / Three risks. Three practical tests.</w:t>
      </w:r>
    </w:p>
    <w:p>
      <w:pPr/>
      <w:r>
        <w:rPr>
          <w:i/>
          <w:color w:val="776C7B"/>
          <w:sz w:val="18"/>
        </w:rPr>
        <w:t>5:45–6:20 | 35 seconds | 77 spoken words</w:t>
      </w:r>
    </w:p>
    <w:p>
      <w:pPr>
        <w:pStyle w:val="Heading2"/>
      </w:pPr>
      <w:r>
        <w:t>SAY THIS</w:t>
      </w:r>
    </w:p>
    <w:p>
      <w:pPr/>
      <w:r>
        <w:t>There are three main risks. First, customers may like the idea but choose a cheaper toy. We should compare prototypes at realistic prices. Second, too many options could create production problems, so we should limit the range and check samples. Third, nostalgia may lead to only one purchase. We need to understand repeat-use or gifting reasons. The OCPB report also highlights product-information concerns at some sellers, making supplier and label checks part of the proposed launch process.</w:t>
      </w:r>
    </w:p>
    <w:p>
      <w:pPr>
        <w:pStyle w:val="Heading2"/>
      </w:pPr>
      <w:r>
        <w:t>PRESENTER CUE — do not read aloud</w:t>
      </w:r>
    </w:p>
    <w:p>
      <w:pPr/>
      <w:r>
        <w:rPr>
          <w:i/>
          <w:color w:val="776C7B"/>
          <w:sz w:val="18"/>
        </w:rPr>
        <w:t>Use the risk/test/result table. S4 reports incomplete labels at some sellers; avoid generalising to all toys.</w:t>
      </w:r>
    </w:p>
    <w:p>
      <w:r>
        <w:br w:type="page"/>
      </w:r>
    </w:p>
    <w:p>
      <w:pPr>
        <w:pStyle w:val="Heading1"/>
      </w:pPr>
      <w:r>
        <w:t>SLIDE 15 / Make the batch pay for itself.</w:t>
      </w:r>
    </w:p>
    <w:p>
      <w:pPr/>
      <w:r>
        <w:rPr>
          <w:i/>
          <w:color w:val="776C7B"/>
          <w:sz w:val="18"/>
        </w:rPr>
        <w:t>6:20–7:00 | 40 seconds | 82 spoken words</w:t>
      </w:r>
    </w:p>
    <w:p>
      <w:pPr>
        <w:pStyle w:val="Heading2"/>
      </w:pPr>
      <w:r>
        <w:t>SAY THIS</w:t>
      </w:r>
    </w:p>
    <w:p>
      <w:pPr/>
      <w:r>
        <w:t>Now let us look at the illustrative economics. If a squishy sells for three hundred forty-nine baht and its variable cost is one hundred ninety-nine, the contribution is one hundred fifty baht per unit. This is the amount available to cover fixed costs, not final profit. With four thousand five hundred baht in setup costs, thirty units would cover that setup amount. The actual threshold must also meet the supplier’s minimum and account for all relevant costs, including fees, defects and delivery.</w:t>
      </w:r>
    </w:p>
    <w:p>
      <w:pPr>
        <w:pStyle w:val="Heading2"/>
      </w:pPr>
      <w:r>
        <w:t>PRESENTER CUE — do not read aloud</w:t>
      </w:r>
    </w:p>
    <w:p>
      <w:pPr/>
      <w:r>
        <w:rPr>
          <w:i/>
          <w:color w:val="776C7B"/>
          <w:sz w:val="18"/>
        </w:rPr>
        <w:t>Follow the proportional price bar, then the setup/contribution calculation. All numbers require real quotes and demand validation.</w:t>
      </w:r>
    </w:p>
    <w:p>
      <w:r>
        <w:br w:type="page"/>
      </w:r>
    </w:p>
    <w:p>
      <w:pPr>
        <w:pStyle w:val="Heading1"/>
      </w:pPr>
      <w:r>
        <w:t>SLIDE 16 / Ask. Observe. Then commit.</w:t>
      </w:r>
    </w:p>
    <w:p>
      <w:pPr/>
      <w:r>
        <w:rPr>
          <w:i/>
          <w:color w:val="776C7B"/>
          <w:sz w:val="18"/>
        </w:rPr>
        <w:t>7:00–7:25 | 25 seconds | 62 spoken words</w:t>
      </w:r>
    </w:p>
    <w:p>
      <w:pPr>
        <w:pStyle w:val="Heading2"/>
      </w:pPr>
      <w:r>
        <w:t>SAY THIS</w:t>
      </w:r>
    </w:p>
    <w:p>
      <w:pPr/>
      <w:r>
        <w:t>To develop this initial interview, I would follow three stages. First, ask adult buyers about their recent purchases and reasons for trying the toys. Second, compare reactions to the concept at a viable price. Third, confirm supplier samples, costs and terms before testing real orders. The questionnaire supports this process, but positive answers and website demo reservations do not prove real demand.</w:t>
      </w:r>
    </w:p>
    <w:p>
      <w:pPr>
        <w:pStyle w:val="Heading2"/>
      </w:pPr>
      <w:r>
        <w:t>PRESENTER CUE — do not read aloud</w:t>
      </w:r>
    </w:p>
    <w:p>
      <w:pPr/>
      <w:r>
        <w:rPr>
          <w:i/>
          <w:color w:val="776C7B"/>
          <w:sz w:val="18"/>
        </w:rPr>
        <w:t>Show the sequence of behaviour research, concept testing and supplier/purchase validation. Keep demo clicks separate from fieldwork.</w:t>
      </w:r>
    </w:p>
    <w:p>
      <w:r>
        <w:br w:type="page"/>
      </w:r>
    </w:p>
    <w:p>
      <w:pPr>
        <w:pStyle w:val="Heading1"/>
      </w:pPr>
      <w:r>
        <w:t>SLIDE 17 / Start small. Earn the next batch.</w:t>
      </w:r>
    </w:p>
    <w:p>
      <w:pPr/>
      <w:r>
        <w:rPr>
          <w:i/>
          <w:color w:val="776C7B"/>
          <w:sz w:val="18"/>
        </w:rPr>
        <w:t>7:25–7:50 | 25 seconds | 62 spoken words</w:t>
      </w:r>
    </w:p>
    <w:p>
      <w:pPr>
        <w:pStyle w:val="Heading2"/>
      </w:pPr>
      <w:r>
        <w:t>SAY THIS</w:t>
      </w:r>
    </w:p>
    <w:p>
      <w:pPr/>
      <w:r>
        <w:t>My recommendation is to begin with one collection and three decision rules. Customers must choose it at a viable price, product quality must be consistent, and confirmed orders must cover the batch. If those conditions fail, we should change the idea before expanding. REPLAY LAB offers a way to explore a childhood memory as a product, with evidence guiding what happens next.</w:t>
      </w:r>
    </w:p>
    <w:p>
      <w:pPr>
        <w:pStyle w:val="Heading2"/>
      </w:pPr>
      <w:r>
        <w:t>PRESENTER CUE — do not read aloud</w:t>
      </w:r>
    </w:p>
    <w:p>
      <w:pPr/>
      <w:r>
        <w:rPr>
          <w:i/>
          <w:color w:val="776C7B"/>
          <w:sz w:val="18"/>
        </w:rPr>
        <w:t>End with three pilot gates and the clickable prototype link.</w:t>
      </w:r>
    </w:p>
    <w:p>
      <w:r>
        <w:br w:type="page"/>
      </w:r>
    </w:p>
    <w:p>
      <w:pPr>
        <w:pStyle w:val="Heading1"/>
      </w:pPr>
      <w:r>
        <w:t>SLIDE 18 / Sources &amp; prototype</w:t>
      </w:r>
    </w:p>
    <w:p>
      <w:pPr/>
      <w:r>
        <w:rPr>
          <w:i/>
          <w:color w:val="776C7B"/>
          <w:sz w:val="18"/>
        </w:rPr>
        <w:t>7:50–8:00 | 10 seconds | 21 spoken words</w:t>
      </w:r>
    </w:p>
    <w:p>
      <w:pPr>
        <w:pStyle w:val="Heading2"/>
      </w:pPr>
      <w:r>
        <w:t>SAY THIS</w:t>
      </w:r>
    </w:p>
    <w:p>
      <w:pPr/>
      <w:r>
        <w:t>These are the sources and prototype behind the proposal. The supporting files include the questionnaire and assumptions. Thank you for listening.</w:t>
      </w:r>
    </w:p>
    <w:p>
      <w:pPr>
        <w:pStyle w:val="Heading2"/>
      </w:pPr>
      <w:r>
        <w:t>PRESENTER CUE — do not read aloud</w:t>
      </w:r>
    </w:p>
    <w:p>
      <w:pPr/>
      <w:r>
        <w:rPr>
          <w:i/>
          <w:color w:val="776C7B"/>
          <w:sz w:val="18"/>
        </w:rPr>
        <w:t>Keep the source card visible while saying the closing lines. No extra silent credit interval is needed; this ten-second slide is included in the eight minutes.</w:t>
      </w:r>
    </w:p>
    <w:p>
      <w:r>
        <w:br w:type="page"/>
      </w:r>
    </w:p>
    <w:p>
      <w:pPr>
        <w:pStyle w:val="Heading1"/>
      </w:pPr>
      <w:r>
        <w:t>Complete the interview source note</w:t>
      </w:r>
    </w:p>
    <w:p>
      <w:pPr/>
      <w:r>
        <w:t>When available, add the market name, interview date and the interviewee’s role. Keep the original notes or recording if available. Do not label a paraphrase as an exact quotation.</w:t>
      </w:r>
    </w:p>
    <w:p>
      <w:pPr/>
      <w:r>
        <w:rPr>
          <w:i/>
          <w:color w:val="776C7B"/>
          <w:sz w:val="18"/>
        </w:rPr>
        <w:t>This guidance is not part of the spoken script. The interview supports a local account of adult interest in squeezing and playing. It does not establish how many people bought, why they bought, or whether the behaviour increased over time. Ask follow-up questions before making those claims.</w:t>
      </w:r>
    </w:p>
    <w:p>
      <w:pPr>
        <w:pStyle w:val="Heading2"/>
      </w:pPr>
      <w:r>
        <w:t>If asked after the presentation</w:t>
      </w:r>
    </w:p>
    <w:p>
      <w:pPr>
        <w:pStyle w:val="Heading2"/>
      </w:pPr>
      <w:r>
        <w:t>Is the idea completely new?</w:t>
      </w:r>
    </w:p>
    <w:p>
      <w:pPr/>
      <w:r>
        <w:t>No. Custom squishies already exist. The proposal combines Thai childhood memories, adult use and customer participation; its differentiation still needs testing.</w:t>
      </w:r>
    </w:p>
    <w:p>
      <w:pPr>
        <w:pStyle w:val="Heading2"/>
      </w:pPr>
      <w:r>
        <w:t>Does the website prove demand?</w:t>
      </w:r>
    </w:p>
    <w:p>
      <w:pPr/>
      <w:r>
        <w:t>No. It demonstrates the journey. Browser-local simulated reservations do not establish willingness to pay.</w:t>
      </w:r>
    </w:p>
    <w:p>
      <w:pPr>
        <w:pStyle w:val="Heading2"/>
      </w:pPr>
      <w:r>
        <w:t>Is thirty units the actual production minimum?</w:t>
      </w:r>
    </w:p>
    <w:p>
      <w:pPr/>
      <w:r>
        <w:t>No. It is the illustrative setup-cost break-even point. The actual batch threshold must also satisfy supplier minimums and all relevant costs.</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REPLAY LAB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92C42"/>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92C4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92C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392C4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