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REPLAY LAB</w:t>
      </w:r>
    </w:p>
    <w:p>
      <w:pPr/>
      <w:r>
        <w:rPr>
          <w:i/>
          <w:color w:val="776C7B"/>
          <w:sz w:val="18"/>
        </w:rPr>
        <w:t>Childhood, remade. / English speaking script / five-minute video</w:t>
      </w:r>
    </w:p>
    <w:p>
      <w:pPr>
        <w:pStyle w:val="Heading1"/>
      </w:pPr>
      <w:r>
        <w:t>Recording plan</w:t>
      </w:r>
    </w:p>
    <w:p>
      <w:pPr/>
      <w:r>
        <w:t>561 spoken words. Slides 1–17 cover the story; slide 18 is a silent five-second source card. Slide 11 includes a 25-second recorded website demo. Speak its narration over the clip; do not add the clip as extra time. The target is 4 minutes 50 seconds including the demo and credits, leaving 10 seconds below the limit. Speak at about 120 words per minute; actual recording length must be checked. Record a rehearsal after inserting your own evidence.</w:t>
      </w:r>
    </w:p>
    <w:p>
      <w:pPr>
        <w:pStyle w:val="Heading2"/>
      </w:pPr>
      <w:r>
        <w:t>Tone and audience</w:t>
      </w:r>
    </w:p>
    <w:p>
      <w:pPr/>
      <w:r>
        <w:t>Speak directly and confidently to a marketing instructor and classmates. Explain the source, then your interpretation, then the business decision. Keep the playful visual style separate from the seriousness of the evidence. Do not read URLs aloud.</w:t>
      </w:r>
    </w:p>
    <w:p>
      <w:pPr>
        <w:pStyle w:val="Heading2"/>
      </w:pPr>
      <w:r>
        <w:t>What still needs real evidence</w:t>
      </w:r>
    </w:p>
    <w:p>
      <w:pPr/>
      <w:r>
        <w:t>Slide 4 is an honest pre-fieldwork version. Replace it with your own dated observations or interviews before submission. Demo votes, saved designs, simulated reservations are not real consumer research. The questionnaire helps collect evidence; blank forms are not findings.</w:t>
      </w:r>
    </w:p>
    <w:tbl>
      <w:tblPr>
        <w:tblStyle w:val="LightShading-Accent1"/>
        <w:tblW w:type="auto" w:w="0"/>
        <w:tblLook w:firstColumn="1" w:firstRow="1" w:lastColumn="0" w:lastRow="0" w:noHBand="0" w:noVBand="1" w:val="04A0"/>
      </w:tblPr>
      <w:tblGrid>
        <w:gridCol w:w="3250"/>
        <w:gridCol w:w="3250"/>
        <w:gridCol w:w="3250"/>
      </w:tblGrid>
      <w:tr>
        <w:tc>
          <w:tcPr>
            <w:tcW w:type="dxa" w:w="3250"/>
          </w:tcPr>
          <w:p>
            <w:r>
              <w:t>Time</w:t>
            </w:r>
          </w:p>
        </w:tc>
        <w:tc>
          <w:tcPr>
            <w:tcW w:type="dxa" w:w="3250"/>
          </w:tcPr>
          <w:p>
            <w:r>
              <w:t>Slides</w:t>
            </w:r>
          </w:p>
        </w:tc>
        <w:tc>
          <w:tcPr>
            <w:tcW w:type="dxa" w:w="3250"/>
          </w:tcPr>
          <w:p>
            <w:r>
              <w:t>Purpose</w:t>
            </w:r>
          </w:p>
        </w:tc>
      </w:tr>
      <w:tr>
        <w:tc>
          <w:tcPr>
            <w:tcW w:type="dxa" w:w="3250"/>
          </w:tcPr>
          <w:p>
            <w:r>
              <w:t>0:00–0:55</w:t>
            </w:r>
          </w:p>
        </w:tc>
        <w:tc>
          <w:tcPr>
            <w:tcW w:type="dxa" w:w="3250"/>
          </w:tcPr>
          <w:p>
            <w:r>
              <w:t>1–4</w:t>
            </w:r>
          </w:p>
        </w:tc>
        <w:tc>
          <w:tcPr>
            <w:tcW w:type="dxa" w:w="3250"/>
          </w:tcPr>
          <w:p>
            <w:r>
              <w:t>Reported change + original evidence</w:t>
            </w:r>
          </w:p>
        </w:tc>
      </w:tr>
      <w:tr>
        <w:tc>
          <w:tcPr>
            <w:tcW w:type="dxa" w:w="3250"/>
          </w:tcPr>
          <w:p>
            <w:r>
              <w:t>0:55–1:50</w:t>
            </w:r>
          </w:p>
        </w:tc>
        <w:tc>
          <w:tcPr>
            <w:tcW w:type="dxa" w:w="3250"/>
          </w:tcPr>
          <w:p>
            <w:r>
              <w:t>5–7</w:t>
            </w:r>
          </w:p>
        </w:tc>
        <w:tc>
          <w:tcPr>
            <w:tcW w:type="dxa" w:w="3250"/>
          </w:tcPr>
          <w:p>
            <w:r>
              <w:t>Audience + two class concepts</w:t>
            </w:r>
          </w:p>
        </w:tc>
      </w:tr>
      <w:tr>
        <w:tc>
          <w:tcPr>
            <w:tcW w:type="dxa" w:w="3250"/>
          </w:tcPr>
          <w:p>
            <w:r>
              <w:t>1:50–3:30</w:t>
            </w:r>
          </w:p>
        </w:tc>
        <w:tc>
          <w:tcPr>
            <w:tcW w:type="dxa" w:w="3250"/>
          </w:tcPr>
          <w:p>
            <w:r>
              <w:t>8–13</w:t>
            </w:r>
          </w:p>
        </w:tc>
        <w:tc>
          <w:tcPr>
            <w:tcW w:type="dxa" w:w="3250"/>
          </w:tcPr>
          <w:p>
            <w:r>
              <w:t>Opportunity + design + recorded demo + revenue</w:t>
            </w:r>
          </w:p>
        </w:tc>
      </w:tr>
      <w:tr>
        <w:tc>
          <w:tcPr>
            <w:tcW w:type="dxa" w:w="3250"/>
          </w:tcPr>
          <w:p>
            <w:r>
              <w:t>3:30–4:45</w:t>
            </w:r>
          </w:p>
        </w:tc>
        <w:tc>
          <w:tcPr>
            <w:tcW w:type="dxa" w:w="3250"/>
          </w:tcPr>
          <w:p>
            <w:r>
              <w:t>14–17</w:t>
            </w:r>
          </w:p>
        </w:tc>
        <w:tc>
          <w:tcPr>
            <w:tcW w:type="dxa" w:w="3250"/>
          </w:tcPr>
          <w:p>
            <w:r>
              <w:t>Risk, economics, validation and decision</w:t>
            </w:r>
          </w:p>
        </w:tc>
      </w:tr>
      <w:tr>
        <w:tc>
          <w:tcPr>
            <w:tcW w:type="dxa" w:w="3250"/>
          </w:tcPr>
          <w:p>
            <w:r>
              <w:t>4:45–4:50</w:t>
            </w:r>
          </w:p>
        </w:tc>
        <w:tc>
          <w:tcPr>
            <w:tcW w:type="dxa" w:w="3250"/>
          </w:tcPr>
          <w:p>
            <w:r>
              <w:t>18</w:t>
            </w:r>
          </w:p>
        </w:tc>
        <w:tc>
          <w:tcPr>
            <w:tcW w:type="dxa" w:w="3250"/>
          </w:tcPr>
          <w:p>
            <w:r>
              <w:t>Source card</w:t>
            </w:r>
          </w:p>
        </w:tc>
      </w:tr>
    </w:tbl>
    <w:p>
      <w:pPr>
        <w:pStyle w:val="Heading2"/>
      </w:pPr>
      <w:r>
        <w:t>PowerPoint font</w:t>
      </w:r>
    </w:p>
    <w:p>
      <w:pPr/>
      <w:r>
        <w:t>The included Press Start 2P font is used for small labels. Headlines and body text use Arial for reliable editing. Install assets/pixel.ttf before editing the PPTX if the font is missing. PDF and PNG versions preserve the design. Body text is Arial for readability.</w:t>
      </w:r>
    </w:p>
    <w:p>
      <w:r>
        <w:br w:type="page"/>
      </w:r>
    </w:p>
    <w:p>
      <w:pPr>
        <w:pStyle w:val="Heading1"/>
      </w:pPr>
      <w:r>
        <w:t>Spot the change</w:t>
      </w:r>
    </w:p>
    <w:p>
      <w:pPr>
        <w:pStyle w:val="Heading2"/>
      </w:pPr>
      <w:r>
        <w:t>0:00–0:10 | Slide 1: Good memories. Made tangible.</w:t>
      </w:r>
    </w:p>
    <w:p>
      <w:pPr/>
      <w:r>
        <w:t>A toy can carry a memory. REPLAY LAB explores how working adults might turn childhood wishes into personal squishies and slime.</w:t>
      </w:r>
    </w:p>
    <w:p>
      <w:pPr/>
      <w:r>
        <w:rPr>
          <w:i/>
          <w:color w:val="776C7B"/>
          <w:sz w:val="18"/>
        </w:rPr>
        <w:t>Visual: Open on the original product artwork and brand promise. It is concept art, not fieldwork.</w:t>
      </w:r>
    </w:p>
    <w:p>
      <w:pPr>
        <w:pStyle w:val="Heading2"/>
      </w:pPr>
      <w:r>
        <w:t>0:10–0:25 | Slide 2: A revival worth investigating.</w:t>
      </w:r>
    </w:p>
    <w:p>
      <w:pPr/>
      <w:r>
        <w:t>Thai PBS World reported a toy revival at Sampheng in June twenty twenty-six. Thairath reported a broader revival at Mega Plaza. These are local signals, not a market-size estimate.</w:t>
      </w:r>
    </w:p>
    <w:p>
      <w:pPr/>
      <w:r>
        <w:rPr>
          <w:i/>
          <w:color w:val="776C7B"/>
          <w:sz w:val="18"/>
        </w:rPr>
        <w:t>Visual: Compare the two dated sources. S1 supports the reported adult-return account; S2 supports the broader sensory-toy revival.</w:t>
      </w:r>
    </w:p>
    <w:p>
      <w:pPr>
        <w:pStyle w:val="Heading2"/>
      </w:pPr>
      <w:r>
        <w:t>0:25–0:40 | Slide 3: The toy is familiar. The buyer’s situation has changed.</w:t>
      </w:r>
    </w:p>
    <w:p>
      <w:pPr/>
      <w:r>
        <w:t>The Sampheng vendor described working adults buying toys they had wanted but could not afford as children. The product is familiar; adult income changes the buyer’s freedom to choose.</w:t>
      </w:r>
    </w:p>
    <w:p>
      <w:pPr/>
      <w:r>
        <w:rPr>
          <w:i/>
          <w:color w:val="776C7B"/>
          <w:sz w:val="18"/>
        </w:rPr>
        <w:t>Visual: Show the before/after buying context. These are analytical labels, not participant quotations. Cite S1.</w:t>
      </w:r>
    </w:p>
    <w:p>
      <w:r>
        <w:br w:type="page"/>
      </w:r>
    </w:p>
    <w:p>
      <w:pPr>
        <w:pStyle w:val="Heading1"/>
      </w:pPr>
      <w:r>
        <w:t>Spot the change</w:t>
      </w:r>
    </w:p>
    <w:p>
      <w:pPr>
        <w:pStyle w:val="Heading2"/>
      </w:pPr>
      <w:r>
        <w:t>0:40–0:55 | Slide 4: A promising signal. An evidence gap to close.</w:t>
      </w:r>
    </w:p>
    <w:p>
      <w:pPr/>
      <w:r>
        <w:t>Original fieldwork is still pending. Mega Plaza’s observed buyers were mainly children and teenagers. I need direct evidence from working adults, asking about actual purchases before showing the business idea.</w:t>
      </w:r>
    </w:p>
    <w:p>
      <w:pPr/>
      <w:r>
        <w:rPr>
          <w:i/>
          <w:color w:val="776C7B"/>
          <w:sz w:val="18"/>
        </w:rPr>
        <w:t>Visual: Replace this plan with actual dated observations, buyer counts and one consented quote before submission. Published news is not personal fieldwork.</w:t>
      </w:r>
    </w:p>
    <w:p>
      <w:pPr>
        <w:pStyle w:val="Heading2"/>
      </w:pPr>
      <w:r>
        <w:t>0:55–1:10 | Slide 5: Design for a specific buyer.</w:t>
      </w:r>
    </w:p>
    <w:p>
      <w:pPr/>
      <w:r>
        <w:t>The proposed target is early-career Thai adults buying for their own enjoyment or collection. A desk, display or everyday break provides a possible use context. These preferences still need testing.</w:t>
      </w:r>
    </w:p>
    <w:p>
      <w:pPr/>
      <w:r>
        <w:rPr>
          <w:i/>
          <w:color w:val="776C7B"/>
          <w:sz w:val="18"/>
        </w:rPr>
        <w:t>Visual: Identify the proposed target and use context. Do not describe this as a researched persona.</w:t>
      </w:r>
    </w:p>
    <w:p>
      <w:pPr>
        <w:pStyle w:val="Heading2"/>
      </w:pPr>
      <w:r>
        <w:t>1:10–1:30 | Slide 6: Memory can change what a toy is worth.</w:t>
      </w:r>
    </w:p>
    <w:p>
      <w:pPr/>
      <w:r>
        <w:t>Emotional motivation explains why a familiar object may matter. Memory adds personal meaning, texture offers enjoyment, and adult income enables choice. My interpretation is that these benefits can combine. Whether buyers would pay more remains an open question.</w:t>
      </w:r>
    </w:p>
    <w:p>
      <w:pPr/>
      <w:r>
        <w:rPr>
          <w:i/>
          <w:color w:val="776C7B"/>
          <w:sz w:val="18"/>
        </w:rPr>
        <w:t>Visual: Explain memory, enjoyment and choice as an interpretation to test. No medical benefit or price premium is established.</w:t>
      </w:r>
    </w:p>
    <w:p>
      <w:r>
        <w:br w:type="page"/>
      </w:r>
    </w:p>
    <w:p>
      <w:pPr>
        <w:pStyle w:val="Heading1"/>
      </w:pPr>
      <w:r>
        <w:t>Explain the consumer</w:t>
      </w:r>
    </w:p>
    <w:p>
      <w:pPr>
        <w:pStyle w:val="Heading2"/>
      </w:pPr>
      <w:r>
        <w:t>1:30–1:50 | Slide 7: Discovery gets attention. Meaning may explain the purchase.</w:t>
      </w:r>
    </w:p>
    <w:p>
      <w:pPr/>
      <w:r>
        <w:t>Social influence helps explain rediscovery. Reviews bring toys back into view, and seeing other adults play may make buying feel acceptable. Discovery and motivation differ: a review may attract attention while memory explains the choice. Paid demand still needs testing.</w:t>
      </w:r>
    </w:p>
    <w:p>
      <w:pPr/>
      <w:r>
        <w:rPr>
          <w:i/>
          <w:color w:val="776C7B"/>
          <w:sz w:val="18"/>
        </w:rPr>
        <w:t>Visual: Follow reported discovery, interpreted relevance and a real choice still to test. S1 supports the first stage.</w:t>
      </w:r>
    </w:p>
    <w:p>
      <w:pPr>
        <w:pStyle w:val="Heading2"/>
      </w:pPr>
      <w:r>
        <w:t>1:50–2:05 | Slide 8: Bring a familiar memory into my everyday life.</w:t>
      </w:r>
    </w:p>
    <w:p>
      <w:pPr/>
      <w:r>
        <w:t>Our proposed value is simple: bring a familiar memory into everyday life. Customers get a recognisable theme, personal design choices and clear product information. This is a hypothesis to test.</w:t>
      </w:r>
    </w:p>
    <w:p>
      <w:pPr/>
      <w:r>
        <w:rPr>
          <w:i/>
          <w:color w:val="776C7B"/>
          <w:sz w:val="18"/>
        </w:rPr>
        <w:t>Visual: Present the proposed customer job and the three benefits. This is a value hypothesis.</w:t>
      </w:r>
    </w:p>
    <w:p>
      <w:pPr>
        <w:pStyle w:val="Heading2"/>
      </w:pPr>
      <w:r>
        <w:t>2:05–2:20 | Slide 9: A shared memory. A personal object.</w:t>
      </w:r>
    </w:p>
    <w:p>
      <w:pPr/>
      <w:r>
        <w:t>The starting collection includes a pencil-case squishy, a gamepad squishy and cloud slime. Shared childhood themes connect the objects, while a small range of shapes keeps the proposed production manageable.</w:t>
      </w:r>
    </w:p>
    <w:p>
      <w:pPr/>
      <w:r>
        <w:rPr>
          <w:i/>
          <w:color w:val="776C7B"/>
          <w:sz w:val="18"/>
        </w:rPr>
        <w:t>Visual: Show actual prototype artwork. The themes are proposed, not observed customer preferences. S2 supplies sensory-product context.</w:t>
      </w:r>
    </w:p>
    <w:p>
      <w:r>
        <w:br w:type="page"/>
      </w:r>
    </w:p>
    <w:p>
      <w:pPr>
        <w:pStyle w:val="Heading1"/>
      </w:pPr>
      <w:r>
        <w:t>Find the opportunity</w:t>
      </w:r>
    </w:p>
    <w:p>
      <w:pPr>
        <w:pStyle w:val="Heading2"/>
      </w:pPr>
      <w:r>
        <w:t>2:20–2:35 | Slide 10: Four choices. One personal object.</w:t>
      </w:r>
    </w:p>
    <w:p>
      <w:pPr/>
      <w:r>
        <w:t>The studio has four steps: shape, colour, feel and story. Customers choose available options and add a name. Quiet and unscented settings suit a possible desk-use preference, subject to physical testing.</w:t>
      </w:r>
    </w:p>
    <w:p>
      <w:pPr/>
      <w:r>
        <w:rPr>
          <w:i/>
          <w:color w:val="776C7B"/>
          <w:sz w:val="18"/>
        </w:rPr>
        <w:t>Visual: Follow the four studio steps. Explain that real textures and scents need supplier-made samples.</w:t>
      </w:r>
    </w:p>
    <w:p>
      <w:pPr>
        <w:pStyle w:val="Heading2"/>
      </w:pPr>
      <w:r>
        <w:t>2:35–3:00 | Slide 11: From a memory to a viable batch.</w:t>
      </w:r>
    </w:p>
    <w:p>
      <w:pPr/>
      <w:r>
        <w:t>Watch the ordering demo. Choose a shape, change its colour, name the design and save it. Add it to the bag, review the illustrative price, then confirm a simulated reservation. The notebook keeps the result. This is a prototype: no payment is taken and no product is ordered.</w:t>
      </w:r>
    </w:p>
    <w:p>
      <w:pPr/>
      <w:r>
        <w:rPr>
          <w:i/>
          <w:color w:val="776C7B"/>
          <w:sz w:val="18"/>
        </w:rPr>
        <w:t>Visual: Click the embedded MP4 in slideshow mode and narrate over its 25 seconds. This clip is already included in the timeline. If playback is unavailable, open the downloadable MP4 before recording. Do not add a second demo interval.</w:t>
      </w:r>
    </w:p>
    <w:p>
      <w:pPr>
        <w:pStyle w:val="Heading2"/>
      </w:pPr>
      <w:r>
        <w:t>3:00–3:15 | Slide 12: Personal meaning. Manageable production.</w:t>
      </w:r>
    </w:p>
    <w:p>
      <w:pPr/>
      <w:r>
        <w:t>Custom squishies already exist. Our proposed difference combines Thai childhood memories, adult use and customer-chosen collections. Shared shapes and supplier processes control complexity; colours, names and memory cards add personal meaning.</w:t>
      </w:r>
    </w:p>
    <w:p>
      <w:pPr/>
      <w:r>
        <w:rPr>
          <w:i/>
          <w:color w:val="776C7B"/>
          <w:sz w:val="18"/>
        </w:rPr>
        <w:t>Visual: Compare shared recipe and personal details. S5 demonstrates existing custom squishies; do not claim global novelty.</w:t>
      </w:r>
    </w:p>
    <w:p>
      <w:r>
        <w:br w:type="page"/>
      </w:r>
    </w:p>
    <w:p>
      <w:pPr>
        <w:pStyle w:val="Heading1"/>
      </w:pPr>
      <w:r>
        <w:t>Find the opportunity</w:t>
      </w:r>
    </w:p>
    <w:p>
      <w:pPr>
        <w:pStyle w:val="Heading2"/>
      </w:pPr>
      <w:r>
        <w:t>3:15–3:30 | Slide 13: Sell the object. Keep the options focused.</w:t>
      </w:r>
    </w:p>
    <w:p>
      <w:pPr/>
      <w:r>
        <w:t>Revenue would come from product sales and selected upgrades. The demo starts squishies at three hundred forty-nine baht and slime at two hundred ninety-nine. These are illustrative prices, not validated offers.</w:t>
      </w:r>
    </w:p>
    <w:p>
      <w:pPr/>
      <w:r>
        <w:rPr>
          <w:i/>
          <w:color w:val="776C7B"/>
          <w:sz w:val="18"/>
        </w:rPr>
        <w:t>Visual: Present sample catalogue prices and optional upgrades as assumptions. Actual delivery costs and product terms remain unconfirmed.</w:t>
      </w:r>
    </w:p>
    <w:p>
      <w:pPr>
        <w:pStyle w:val="Heading2"/>
      </w:pPr>
      <w:r>
        <w:t>3:30–3:50 | Slide 14: Three risks. Three practical tests.</w:t>
      </w:r>
    </w:p>
    <w:p>
      <w:pPr/>
      <w:r>
        <w:t>Three risks need tests: customers may prefer a cheaper toy, custom options can complicate production, and nostalgia may drive only one purchase. Compare prototype preferences, check supplier samples and explore repeat-use reasons. Product information also needs checking, as the OCPB report illustrates.</w:t>
      </w:r>
    </w:p>
    <w:p>
      <w:pPr/>
      <w:r>
        <w:rPr>
          <w:i/>
          <w:color w:val="776C7B"/>
          <w:sz w:val="18"/>
        </w:rPr>
        <w:t>Visual: Use the risk/test/result table. S4 reports incomplete labels at some sellers; avoid generalising to all toys.</w:t>
      </w:r>
    </w:p>
    <w:p>
      <w:pPr>
        <w:pStyle w:val="Heading2"/>
      </w:pPr>
      <w:r>
        <w:t>3:50–4:15 | Slide 15: Make the batch pay for itself.</w:t>
      </w:r>
    </w:p>
    <w:p>
      <w:pPr/>
      <w:r>
        <w:t>The economics are assumptions. Three hundred forty-nine baht minus one hundred ninety-nine leaves one hundred fifty per unit. Four thousand five hundred in setup costs therefore requires thirty units. The actual threshold must also meet supplier minimums and include every relevant cost.</w:t>
      </w:r>
    </w:p>
    <w:p>
      <w:pPr/>
      <w:r>
        <w:rPr>
          <w:i/>
          <w:color w:val="776C7B"/>
          <w:sz w:val="18"/>
        </w:rPr>
        <w:t>Visual: Follow the proportional price bar, then the setup/contribution calculation. All numbers require real quotes and demand validation.</w:t>
      </w:r>
    </w:p>
    <w:p>
      <w:r>
        <w:br w:type="page"/>
      </w:r>
    </w:p>
    <w:p>
      <w:pPr>
        <w:pStyle w:val="Heading1"/>
      </w:pPr>
      <w:r>
        <w:t>Evaluate the opportunity</w:t>
      </w:r>
    </w:p>
    <w:p>
      <w:pPr>
        <w:pStyle w:val="Heading2"/>
      </w:pPr>
      <w:r>
        <w:t>4:15–4:30 | Slide 16: Ask. Observe. Then commit.</w:t>
      </w:r>
    </w:p>
    <w:p>
      <w:pPr/>
      <w:r>
        <w:t>First, interview actual buyers. Then show the concept and prototype at a viable price. Finally, confirm supplier quality, costs and terms before a real purchase test. Survey interest alone is insufficient.</w:t>
      </w:r>
    </w:p>
    <w:p>
      <w:pPr/>
      <w:r>
        <w:rPr>
          <w:i/>
          <w:color w:val="776C7B"/>
          <w:sz w:val="18"/>
        </w:rPr>
        <w:t>Visual: Show the sequence of behaviour research, concept testing and supplier/purchase validation. Keep demo clicks separate from fieldwork.</w:t>
      </w:r>
    </w:p>
    <w:p>
      <w:pPr>
        <w:pStyle w:val="Heading2"/>
      </w:pPr>
      <w:r>
        <w:t>4:30–4:45 | Slide 17: Start small. Earn the next batch.</w:t>
      </w:r>
    </w:p>
    <w:p>
      <w:pPr/>
      <w:r>
        <w:t>Start with one collection. Continue only when people prefer it at a viable price, quality is consistent, and orders cover the batch. Let weak results change the idea.</w:t>
      </w:r>
    </w:p>
    <w:p>
      <w:pPr/>
      <w:r>
        <w:rPr>
          <w:i/>
          <w:color w:val="776C7B"/>
          <w:sz w:val="18"/>
        </w:rPr>
        <w:t>Visual: End with three pilot gates and the clickable prototype link.</w:t>
      </w:r>
    </w:p>
    <w:p>
      <w:pPr>
        <w:pStyle w:val="Heading2"/>
      </w:pPr>
      <w:r>
        <w:t>4:45–4:50 | Slide 18: Sources &amp; prototype</w:t>
      </w:r>
    </w:p>
    <w:p>
      <w:pPr/>
      <w:r>
        <w:rPr>
          <w:i/>
          <w:color w:val="776C7B"/>
          <w:sz w:val="18"/>
        </w:rPr>
        <w:t>Visual: Silent five-second source card. All eighteen slides are part of the presentation; full source notes accompany the files.</w:t>
      </w:r>
    </w:p>
    <w:p>
      <w:r>
        <w:br w:type="page"/>
      </w:r>
    </w:p>
    <w:p>
      <w:pPr>
        <w:pStyle w:val="Heading1"/>
      </w:pPr>
      <w:r>
        <w:t>After fieldwork</w:t>
      </w:r>
    </w:p>
    <w:p>
      <w:pPr/>
      <w:r>
        <w:t>On [DATE], I visited [N] shops in [PLACE] and interviewed [N] working-adult buyers. [X] mentioned childhood memories; [Y] mentioned online reviews. One said, [EXACT QUOTE]. This small convenience sample [supports / complicates] the reported pattern.</w:t>
      </w:r>
    </w:p>
    <w:p>
      <w:pPr/>
      <w:r>
        <w:rPr>
          <w:i/>
          <w:color w:val="776C7B"/>
          <w:sz w:val="18"/>
        </w:rPr>
        <w:t>Use only counts and quotations you actually collected. Keep the replacement near 40 words. If adult buyers do not report nostalgia or social discovery, say so and adjust the explanation. Label any translated quote accurately.</w:t>
      </w:r>
    </w:p>
    <w:p>
      <w:pPr>
        <w:pStyle w:val="Heading2"/>
      </w:pPr>
      <w:r>
        <w:t>Likely questions</w:t>
      </w:r>
    </w:p>
    <w:p>
      <w:pPr>
        <w:pStyle w:val="Heading2"/>
      </w:pPr>
      <w:r>
        <w:t>Is this completely new?</w:t>
      </w:r>
    </w:p>
    <w:p>
      <w:pPr/>
      <w:r>
        <w:t>No global novelty claim is made. Custom squishies already exist. The proposed combination is Thai childhood memories, co-design and viable small batches for adult buyers.</w:t>
      </w:r>
    </w:p>
    <w:p>
      <w:pPr>
        <w:pStyle w:val="Heading2"/>
      </w:pPr>
      <w:r>
        <w:t>Why use pre-orders?</w:t>
      </w:r>
    </w:p>
    <w:p>
      <w:pPr/>
      <w:r>
        <w:t>To test commitment before a production run and avoid making an unviable batch. Production still requires supplier checks, clear terms and a workable refund process.</w:t>
      </w:r>
    </w:p>
    <w:p>
      <w:pPr>
        <w:pStyle w:val="Heading2"/>
      </w:pPr>
      <w:r>
        <w:t>What does the website prove?</w:t>
      </w:r>
    </w:p>
    <w:p>
      <w:pPr/>
      <w:r>
        <w:t>It proves the proposed journey can be demonstrated. Browser-local demo clicks and reservations do not prove market demand.</w:t>
      </w:r>
    </w:p>
    <w:p>
      <w:pPr>
        <w:pStyle w:val="Heading2"/>
      </w:pPr>
      <w:r>
        <w:t>How is the threshold calculated?</w:t>
      </w:r>
    </w:p>
    <w:p>
      <w:pPr/>
      <w:r>
        <w:t>Use the higher of the supplier minimum order quantity and fixed setup cost divided by contribution per unit, rounded up. The example assumes THB 349 price, THB 199 variable cost and THB 4,500 fixed cost: 30 units before any higher supplier minimum.</w:t>
      </w:r>
    </w:p>
    <w:p>
      <w:pPr>
        <w:pStyle w:val="Heading2"/>
      </w:pPr>
      <w:r>
        <w:t>What would stop the pilot?</w:t>
      </w:r>
    </w:p>
    <w:p>
      <w:pPr/>
      <w:r>
        <w:t>Low preference at a viable price, inconsistent product quality, weak reservations after real terms are shown, or costs that exceed the batch’s contribution.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REPLAY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92C4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92C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92C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92C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