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456"/>
        <w:gridCol w:w="360"/>
        <w:gridCol w:w="6840"/>
      </w:tblGrid>
      <w:tr>
        <w:tc>
          <w:tcPr>
            <w:tcW w:type="dxa" w:w="3456"/>
            <w:vAlign w:val="top"/>
            <w:tcMar>
              <w:top w:w="180" w:type="dxa"/>
              <w:bottom w:w="180" w:type="dxa"/>
              <w:left w:w="180" w:type="dxa"/>
              <w:right w:w="180" w:type="dxa"/>
            </w:tcMar>
            <w:shd w:fill="193D54"/>
          </w:tcPr>
          <w:p>
            <w:pPr>
              <w:spacing w:after="100"/>
              <w:jc w:val="center"/>
            </w:pPr>
            <w:r>
              <w:rPr>
                <w:color w:val="FFFFFF"/>
              </w:rPr>
              <w:drawing>
                <wp:inline xmlns:a="http://schemas.openxmlformats.org/drawingml/2006/main" xmlns:pic="http://schemas.openxmlformats.org/drawingml/2006/picture">
                  <wp:extent cx="1143000" cy="1235363"/>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143000" cy="1235363"/>
                          </a:xfrm>
                          <a:prstGeom prst="ellipse"/>
                        </pic:spPr>
                      </pic:pic>
                    </a:graphicData>
                  </a:graphic>
                </wp:inline>
              </w:drawing>
            </w:r>
          </w:p>
          <w:p>
            <w:pPr>
              <w:spacing w:after="100"/>
            </w:pPr>
            <w:r>
              <w:rPr>
                <w:b/>
                <w:color w:val="FFFFFF"/>
                <w:sz w:val="21"/>
              </w:rPr>
              <w:t>CONTACT</w:t>
            </w:r>
          </w:p>
          <w:p>
            <w:pPr>
              <w:spacing w:after="100"/>
            </w:pPr>
            <w:r>
              <w:rPr>
                <w:b w:val="0"/>
                <w:color w:val="FFFFFF"/>
                <w:sz w:val="18"/>
              </w:rPr>
              <w:t>dricianfranciscordon@gmail.com</w:t>
            </w:r>
          </w:p>
          <w:p>
            <w:pPr>
              <w:spacing w:after="100"/>
            </w:pPr>
            <w:r>
              <w:rPr>
                <w:b w:val="0"/>
                <w:color w:val="FFFFFF"/>
                <w:sz w:val="21"/>
              </w:rPr>
              <w:t>09813938660</w:t>
            </w:r>
          </w:p>
          <w:p>
            <w:pPr>
              <w:spacing w:after="100"/>
            </w:pPr>
            <w:r>
              <w:rPr>
                <w:b w:val="0"/>
                <w:color w:val="FFFFFF"/>
                <w:sz w:val="21"/>
              </w:rPr>
              <w:t>Valenzuela City, Philippines</w:t>
            </w:r>
          </w:p>
          <w:p>
            <w:pPr>
              <w:spacing w:after="100" w:line="240" w:lineRule="auto"/>
            </w:pPr>
            <w:r>
              <w:rPr>
                <w:color w:val="FFFFFF"/>
                <w:sz w:val="2"/>
              </w:rPr>
            </w:r>
          </w:p>
          <w:p>
            <w:pPr>
              <w:keepNext/>
              <w:spacing w:after="100" w:line="240" w:lineRule="auto" w:before="120"/>
            </w:pPr>
            <w:r>
              <w:rPr>
                <w:b/>
                <w:color w:val="FFFFFF"/>
                <w:sz w:val="22"/>
              </w:rPr>
              <w:t>TECHNICAL SKILLS</w:t>
            </w:r>
          </w:p>
          <w:p>
            <w:pPr>
              <w:spacing w:after="100" w:line="240" w:lineRule="auto"/>
            </w:pPr>
            <w:r>
              <w:rPr>
                <w:b w:val="0"/>
                <w:color w:val="FFFFFF"/>
                <w:sz w:val="21"/>
              </w:rPr>
              <w:t>Programming: C#, Python, SQL</w:t>
            </w:r>
          </w:p>
          <w:p>
            <w:pPr>
              <w:spacing w:after="100" w:line="240" w:lineRule="auto"/>
            </w:pPr>
            <w:r>
              <w:rPr>
                <w:b w:val="0"/>
                <w:color w:val="FFFFFF"/>
                <w:sz w:val="21"/>
              </w:rPr>
              <w:t>Frameworks and databases: ASP.NET, PostgreSQL, Microsoft SQL Server</w:t>
            </w:r>
          </w:p>
          <w:p>
            <w:pPr>
              <w:spacing w:after="100" w:line="240" w:lineRule="auto"/>
            </w:pPr>
            <w:r>
              <w:rPr>
                <w:b w:val="0"/>
                <w:color w:val="FFFFFF"/>
                <w:sz w:val="21"/>
              </w:rPr>
              <w:t>Tools: Git, GitHub, Google Cloud, QuickBooks</w:t>
            </w:r>
          </w:p>
          <w:p>
            <w:pPr>
              <w:spacing w:after="100" w:line="240" w:lineRule="auto"/>
            </w:pPr>
            <w:r>
              <w:rPr>
                <w:b w:val="0"/>
                <w:color w:val="FFFFFF"/>
                <w:sz w:val="21"/>
              </w:rPr>
              <w:t>Productivity and design: Excel, Word, PowerPoint, Canva</w:t>
            </w:r>
          </w:p>
          <w:p>
            <w:pPr>
              <w:keepNext/>
              <w:spacing w:after="100" w:line="240" w:lineRule="auto" w:before="120"/>
            </w:pPr>
            <w:r>
              <w:rPr>
                <w:b/>
                <w:color w:val="FFFFFF"/>
                <w:sz w:val="22"/>
              </w:rPr>
              <w:t>EDUCATION</w:t>
            </w:r>
          </w:p>
          <w:p>
            <w:pPr>
              <w:spacing w:after="100" w:line="240" w:lineRule="auto"/>
            </w:pPr>
            <w:r>
              <w:rPr>
                <w:b/>
                <w:color w:val="FFFFFF"/>
                <w:sz w:val="21"/>
              </w:rPr>
              <w:t>BS Information Technology</w:t>
            </w:r>
          </w:p>
          <w:p>
            <w:pPr>
              <w:spacing w:after="100" w:line="240" w:lineRule="auto"/>
            </w:pPr>
            <w:r>
              <w:rPr>
                <w:b w:val="0"/>
                <w:color w:val="FFFFFF"/>
                <w:sz w:val="21"/>
              </w:rPr>
              <w:t>Pamantasan ng Lungsod ng Valenzuela</w:t>
              <w:br/>
              <w:t>2023–Present</w:t>
              <w:br/>
              <w:t>Expected graduation 2027</w:t>
            </w:r>
          </w:p>
          <w:p>
            <w:pPr>
              <w:spacing w:after="100" w:line="240" w:lineRule="auto"/>
            </w:pPr>
            <w:r>
              <w:rPr>
                <w:b/>
                <w:color w:val="FFFFFF"/>
                <w:sz w:val="21"/>
              </w:rPr>
              <w:t>Sitero Francisco Memorial National High School</w:t>
            </w:r>
          </w:p>
          <w:p>
            <w:pPr>
              <w:spacing w:after="100" w:line="240" w:lineRule="auto"/>
            </w:pPr>
            <w:r>
              <w:rPr>
                <w:b w:val="0"/>
                <w:color w:val="FFFFFF"/>
                <w:sz w:val="21"/>
              </w:rPr>
              <w:t>Best in Research</w:t>
            </w:r>
          </w:p>
          <w:p>
            <w:pPr>
              <w:keepNext/>
              <w:spacing w:after="100" w:line="240" w:lineRule="auto" w:before="120"/>
            </w:pPr>
            <w:r>
              <w:rPr>
                <w:b/>
                <w:color w:val="FFFFFF"/>
                <w:sz w:val="22"/>
              </w:rPr>
              <w:t>STRENGTHS</w:t>
            </w:r>
          </w:p>
          <w:p>
            <w:pPr>
              <w:spacing w:after="100" w:line="240" w:lineRule="auto"/>
            </w:pPr>
            <w:r>
              <w:rPr>
                <w:b w:val="0"/>
                <w:color w:val="FFFFFF"/>
                <w:sz w:val="21"/>
              </w:rPr>
              <w:t>Teamwork and adaptability</w:t>
              <w:br/>
              <w:t>Communication</w:t>
              <w:br/>
              <w:t>Attention to detail</w:t>
            </w:r>
          </w:p>
          <w:p>
            <w:pPr>
              <w:keepNext/>
              <w:spacing w:after="100" w:line="240" w:lineRule="auto" w:before="120"/>
            </w:pPr>
            <w:r>
              <w:rPr>
                <w:b/>
                <w:color w:val="FFFFFF"/>
                <w:sz w:val="22"/>
              </w:rPr>
              <w:t>LANGUAGES AND TRAINING</w:t>
            </w:r>
          </w:p>
          <w:p>
            <w:pPr>
              <w:spacing w:after="100" w:line="240" w:lineRule="auto"/>
            </w:pPr>
            <w:r>
              <w:rPr>
                <w:b w:val="0"/>
                <w:color w:val="FFFFFF"/>
                <w:sz w:val="21"/>
              </w:rPr>
              <w:t>Filipino and English</w:t>
            </w:r>
          </w:p>
          <w:p>
            <w:pPr>
              <w:spacing w:after="100" w:line="240" w:lineRule="auto"/>
            </w:pPr>
            <w:r>
              <w:rPr>
                <w:b w:val="0"/>
                <w:color w:val="FFFFFF"/>
                <w:sz w:val="21"/>
              </w:rPr>
              <w:t>Workshop for Work Immersion Students • March 20, 2022</w:t>
            </w:r>
          </w:p>
        </w:tc>
        <w:tc>
          <w:tcPr>
            <w:tcW w:type="dxa" w:w="360"/>
            <w:vAlign w:val="top"/>
            <w:tcMar>
              <w:top w:w="0" w:type="dxa"/>
              <w:bottom w:w="0" w:type="dxa"/>
              <w:left w:w="100" w:type="dxa"/>
              <w:right w:w="100" w:type="dxa"/>
            </w:tcMar>
          </w:tcPr>
          <w:p>
            <w:pPr>
              <w:spacing w:after="0" w:line="20" w:lineRule="exact"/>
            </w:pPr>
            <w:r>
              <w:rPr>
                <w:sz w:val="2"/>
              </w:rPr>
            </w:r>
          </w:p>
        </w:tc>
        <w:tc>
          <w:tcPr>
            <w:tcW w:type="dxa" w:w="6840"/>
            <w:vAlign w:val="top"/>
            <w:tcMar>
              <w:top w:w="0" w:type="dxa"/>
              <w:bottom w:w="0" w:type="dxa"/>
              <w:left w:w="100" w:type="dxa"/>
              <w:right w:w="100" w:type="dxa"/>
            </w:tcMar>
          </w:tcPr>
          <w:p>
            <w:pPr>
              <w:pStyle w:val="Title"/>
              <w:spacing w:after="60" w:line="245" w:lineRule="auto"/>
            </w:pPr>
            <w:r>
              <w:rPr>
                <w:rFonts w:ascii="Calibri" w:hAnsi="Calibri"/>
                <w:b/>
                <w:color w:val="222222"/>
                <w:sz w:val="54"/>
              </w:rPr>
              <w:t>DRICIAN FRANCIS</w:t>
              <w:br/>
              <w:t>D. CORDON</w:t>
            </w:r>
          </w:p>
          <w:p>
            <w:pPr>
              <w:spacing w:after="60" w:line="245" w:lineRule="auto"/>
            </w:pPr>
            <w:r>
              <w:rPr>
                <w:rFonts w:ascii="Calibri" w:hAnsi="Calibri"/>
                <w:b w:val="0"/>
                <w:color w:val="222222"/>
                <w:sz w:val="26"/>
              </w:rPr>
              <w:t>Information Technology Student</w:t>
            </w:r>
          </w:p>
          <w:p>
            <w:pPr>
              <w:spacing w:after="60" w:line="245" w:lineRule="auto"/>
            </w:pPr>
            <w:r>
              <w:rPr>
                <w:rFonts w:ascii="Calibri" w:hAnsi="Calibri"/>
                <w:b/>
                <w:color w:val="222222"/>
                <w:sz w:val="22"/>
              </w:rPr>
              <w:t>ABOUT ME</w:t>
            </w:r>
          </w:p>
          <w:p>
            <w:pPr>
              <w:spacing w:after="60" w:line="245" w:lineRule="auto"/>
            </w:pPr>
            <w:r>
              <w:rPr>
                <w:rFonts w:ascii="Calibri" w:hAnsi="Calibri"/>
                <w:b w:val="0"/>
                <w:color w:val="222222"/>
                <w:sz w:val="21"/>
              </w:rPr>
              <w:t>Information Technology student with experience in technical support, data encoding, documentation and Excel dashboards. Contributed to backend development, databases and testing for academic software projects.</w:t>
            </w:r>
          </w:p>
          <w:p>
            <w:pPr>
              <w:spacing w:after="60" w:line="20" w:lineRule="exact"/>
            </w:pPr>
            <w:r>
              <w:rPr>
                <w:sz w:val="2"/>
              </w:rPr>
            </w:r>
          </w:p>
          <w:p>
            <w:pPr>
              <w:keepNext/>
              <w:spacing w:after="60" w:line="250" w:lineRule="auto" w:before="180"/>
              <w:pBdr>
                <w:bottom w:val="single" w:sz="8" w:color="193D54" w:space="3"/>
              </w:pBdr>
            </w:pPr>
            <w:r>
              <w:rPr>
                <w:b/>
                <w:color w:val="222222"/>
                <w:sz w:val="22"/>
              </w:rPr>
              <w:t>EXPERIENCE</w:t>
            </w:r>
          </w:p>
          <w:p>
            <w:pPr>
              <w:spacing w:after="60" w:line="250" w:lineRule="auto"/>
            </w:pPr>
            <w:r>
              <w:rPr>
                <w:b/>
                <w:color w:val="222222"/>
                <w:sz w:val="22"/>
              </w:rPr>
              <w:t>On the Job Training</w:t>
            </w:r>
          </w:p>
          <w:p>
            <w:pPr>
              <w:spacing w:after="60" w:line="250" w:lineRule="auto"/>
            </w:pPr>
            <w:r>
              <w:rPr>
                <w:b w:val="0"/>
                <w:color w:val="222222"/>
                <w:sz w:val="20"/>
              </w:rPr>
              <w:t>July 2026–Present</w:t>
            </w:r>
          </w:p>
          <w:p>
            <w:pPr>
              <w:spacing w:after="60" w:line="250" w:lineRule="auto"/>
            </w:pPr>
            <w:r>
              <w:rPr>
                <w:b w:val="0"/>
                <w:color w:val="222222"/>
                <w:sz w:val="21"/>
              </w:rPr>
              <w:t>• Assist employees with basic software and network troubleshooting, and encode data into the company’s internal system.</w:t>
            </w:r>
          </w:p>
          <w:p>
            <w:pPr>
              <w:spacing w:after="60" w:line="250" w:lineRule="auto"/>
            </w:pPr>
            <w:r>
              <w:rPr>
                <w:b w:val="0"/>
                <w:color w:val="222222"/>
                <w:sz w:val="21"/>
              </w:rPr>
              <w:t>• Support documentation and create Excel dashboards to help employees monitor progress more quickly and improve workflow efficiency.</w:t>
            </w:r>
          </w:p>
          <w:p>
            <w:pPr>
              <w:spacing w:after="60" w:line="250" w:lineRule="auto"/>
            </w:pPr>
            <w:r>
              <w:rPr>
                <w:b/>
                <w:color w:val="222222"/>
                <w:sz w:val="22"/>
              </w:rPr>
              <w:t>Encoder | GreenLight Power Inc.</w:t>
            </w:r>
          </w:p>
          <w:p>
            <w:pPr>
              <w:spacing w:after="60" w:line="250" w:lineRule="auto"/>
            </w:pPr>
            <w:r>
              <w:rPr>
                <w:b w:val="0"/>
                <w:color w:val="222222"/>
                <w:sz w:val="20"/>
              </w:rPr>
              <w:t>February 2026–Present</w:t>
            </w:r>
          </w:p>
          <w:p>
            <w:pPr>
              <w:spacing w:after="60" w:line="250" w:lineRule="auto"/>
            </w:pPr>
            <w:r>
              <w:rPr>
                <w:b w:val="0"/>
                <w:color w:val="222222"/>
                <w:sz w:val="21"/>
              </w:rPr>
              <w:t>• Encode and update company records using QuickBooks and digital databases; assist with bank reconciliation.</w:t>
            </w:r>
          </w:p>
          <w:p>
            <w:pPr>
              <w:spacing w:after="60" w:line="250" w:lineRule="auto"/>
            </w:pPr>
            <w:r>
              <w:rPr>
                <w:b w:val="0"/>
                <w:color w:val="222222"/>
                <w:sz w:val="21"/>
              </w:rPr>
              <w:t>• Verify transactions against source documents, resolve mismatched records and organize physical and digital documentation.</w:t>
            </w:r>
          </w:p>
          <w:p>
            <w:pPr>
              <w:keepNext/>
              <w:spacing w:after="60" w:line="250" w:lineRule="auto" w:before="180"/>
              <w:pBdr>
                <w:bottom w:val="single" w:sz="8" w:color="193D54" w:space="3"/>
              </w:pBdr>
            </w:pPr>
            <w:r>
              <w:rPr>
                <w:b/>
                <w:color w:val="222222"/>
                <w:sz w:val="22"/>
              </w:rPr>
              <w:t>SELECTED PROJECTS</w:t>
            </w:r>
          </w:p>
          <w:p>
            <w:pPr>
              <w:spacing w:after="60" w:line="250" w:lineRule="auto"/>
            </w:pPr>
            <w:r>
              <w:rPr>
                <w:b/>
                <w:color w:val="222222"/>
                <w:sz w:val="22"/>
              </w:rPr>
              <w:t>BlockGO Blockchain Grading System</w:t>
            </w:r>
          </w:p>
          <w:p>
            <w:pPr>
              <w:spacing w:after="60" w:line="250" w:lineRule="auto"/>
            </w:pPr>
            <w:r>
              <w:rPr>
                <w:b w:val="0"/>
                <w:color w:val="222222"/>
                <w:sz w:val="21"/>
              </w:rPr>
              <w:t>A blockchain-based grade records management system that supports faculty grade encoding, chairperson review and approval, registrar processing, and student grade viewing. The system brings these academic workflows together to improve record tracking and the integrity of grade information. Contributed to the project through backend development assistance and system testing.</w:t>
            </w:r>
          </w:p>
          <w:p>
            <w:pPr>
              <w:spacing w:after="60" w:line="250" w:lineRule="auto"/>
            </w:pPr>
            <w:r>
              <w:rPr>
                <w:b/>
                <w:color w:val="222222"/>
                <w:sz w:val="22"/>
              </w:rPr>
              <w:t>Digital Survey System</w:t>
            </w:r>
          </w:p>
          <w:p>
            <w:pPr>
              <w:spacing w:after="60" w:line="250" w:lineRule="auto"/>
            </w:pPr>
            <w:r>
              <w:rPr>
                <w:b w:val="0"/>
                <w:color w:val="222222"/>
                <w:sz w:val="21"/>
              </w:rPr>
              <w:t>A web application for creating and managing surveys, collecting respondent submissions, and reviewing results through dashboards and analytics. It helps organize survey information so users can monitor responses and interpret findings in one place. Assisted in developing the backend and database components that support survey and response management.</w:t>
            </w:r>
          </w:p>
          <w:p>
            <w:pPr>
              <w:spacing w:after="60" w:line="250" w:lineRule="auto"/>
            </w:pPr>
            <w:r>
              <w:rPr>
                <w:b/>
                <w:color w:val="222222"/>
                <w:sz w:val="22"/>
              </w:rPr>
              <w:t>Faculty In and Out Monitoring System</w:t>
            </w:r>
          </w:p>
          <w:p>
            <w:pPr>
              <w:spacing w:after="60" w:line="250" w:lineRule="auto"/>
            </w:pPr>
            <w:r>
              <w:rPr>
                <w:b w:val="0"/>
                <w:color w:val="222222"/>
                <w:sz w:val="21"/>
              </w:rPr>
              <w:t>An attendance monitoring application that records faculty arrival and departure and helps organize attendance information for review. It supports tracking attendance records and makes them easier to retrieve and monitor. Assisted in developing the system’s attendance monitoring features.</w:t>
            </w:r>
          </w:p>
        </w:tc>
      </w:tr>
    </w:tbl>
    <w:sectPr w:rsidR="00FC693F" w:rsidRPr="0006063C" w:rsidSect="00034616">
      <w:footerReference w:type="default" r:id="rId10"/>
      <w:pgSz w:w="12240" w:h="15840"/>
      <w:pgMar w:top="504" w:right="792" w:bottom="576" w:left="792" w:header="720"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hyperlink r:id="rId5">
      <w:r>
        <w:rPr>
          <w:color w:val="193D54"/>
          <w:sz w:val="18"/>
        </w:rPr>
        <w:t>GitHub  github.com/blimpMac</w:t>
      </w:r>
    </w:hyperlink>
    <w:r>
      <w:t xml:space="preserve">   |   </w:t>
    </w:r>
    <w:hyperlink r:id="rId6">
      <w:r>
        <w:rPr>
          <w:color w:val="193D54"/>
          <w:sz w:val="18"/>
        </w:rPr>
        <w:t>LinkedIn  linkedin.com/in/drician-cordon-293b20373</w:t>
      </w:r>
    </w:hyperlink>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6.jpg"/><Relationship Id="rId12" Type="http://schemas.openxmlformats.org/officeDocument/2006/relationships/hyperlink" Target="https://github.com/blimpMac" TargetMode="External"/><Relationship Id="rId13" Type="http://schemas.openxmlformats.org/officeDocument/2006/relationships/hyperlink" Target="https://linkedin.com/in/drician-cordon-293b20373"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hyperlink" Target="https://github.com/blimpMac" TargetMode="External"/><Relationship Id="rId6" Type="http://schemas.openxmlformats.org/officeDocument/2006/relationships/hyperlink" Target="https://linkedin.com/in/drician-cordon-293b203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Drician Francis D Cordon Resume</dc:title>
  <dc:subject/>
  <dc:creator>Drician Francis D. Cordon</dc:creator>
  <cp:keywords/>
  <dc:description>generated by python-docx</dc:description>
  <cp:lastModifiedBy/>
  <cp:revision>1</cp:revision>
  <dcterms:created xsi:type="dcterms:W3CDTF">2013-12-23T23:15:00Z</dcterms:created>
  <dcterms:modified xsi:type="dcterms:W3CDTF">2013-12-23T23:15:00Z</dcterms:modified>
  <cp:category/>
</cp:coreProperties>
</file>