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b/>
          <w:bCs/>
        </w:rPr>
        <w:t xml:space="preserve">KAPITULLI 6: ANALIZA DHE REZULTATET</w:t>
      </w:r>
    </w:p>
    <w:p>
      <w:pPr>
        <w:pStyle w:val="Heading2"/>
        <w:spacing w:after="150" w:before="250"/>
      </w:pPr>
      <w:r>
        <w:rPr>
          <w:b/>
          <w:bCs/>
        </w:rPr>
        <w:t xml:space="preserve">6.0 Shënim Metodologjik</w:t>
      </w:r>
    </w:p>
    <w:p>
      <w:pPr>
        <w:spacing w:after="200"/>
      </w:pPr>
      <w:r>
        <w:t xml:space="preserve">Ky kapitull ndryshon nga versioni fillestar i planifikuar në propozim. Trajnimi i plotë i ResNet-50 dhe ResNet-101 mbi 4.348 seritë DICOM të dataset-it RSNA 2025 kërkon rreth 500 GB hapësirë ruajtjeje dhe akses të vazhdueshëm në GPU, burime që nuk ishin të disponueshme brenda mjedisit ku u krye kjo fazë e punës. Për këtë arsye kapitulli ndahet në dy pjesë me natyrë të ndryshme, që nuk duhen ngatërruar me njëra-tjetrën: analiza ekzploruese, e kryer mbi të dhënat reale tabelare të 4.348 serive të dataset-it RSNA, dhe një pilot trajnimi, i kryer realisht (jo i simuluar) mbi një bashkësi imazhesh proxy me qëllim verifikimin e korrektësisë së pipeline-it të klasifikimit. Dallimi mes këtyre dy pjesëve theksohet vazhdimisht më poshtë, në mënyrë që asnjë numër të mos lexohet gabimisht si rezultat klinik mbi dataset-in real RSNA.</w:t>
      </w:r>
    </w:p>
    <w:p>
      <w:pPr>
        <w:pStyle w:val="Heading2"/>
        <w:spacing w:after="150" w:before="250"/>
      </w:pPr>
      <w:r>
        <w:rPr>
          <w:b/>
          <w:bCs/>
        </w:rPr>
        <w:t xml:space="preserve">6.1 Analiza Ekzploruese mbi të Dhënat Reale</w:t>
      </w:r>
    </w:p>
    <w:p>
      <w:pPr>
        <w:spacing w:after="200"/>
      </w:pPr>
      <w:r>
        <w:t xml:space="preserve">Analiza u krye mbi skedarin train.csv origjinal, pa asnjë simulim, duke përfshirë të gjitha 4.348 seritë e raportuara në dataset-in RSNA 2025.</w:t>
      </w:r>
    </w:p>
    <w:p>
      <w:pPr>
        <w:spacing w:after="200"/>
      </w:pPr>
      <w:r>
        <w:t xml:space="preserve">Shpërndarja e klasës rezultoi 1.863 raste pozitive (42,8%) kundrejt 2.485 negative (57,2%), pra një raport çekuilibri afërsisht 1 me 1,33. Ky çekuilibër doli më i moderuar se ç'pritej fillimisht, gjë që lehtëson përdorimin e humbjes së ponderuar (weighted loss) të planifikuar në Kapitullin 4.</w:t>
      </w:r>
    </w:p>
    <w:p>
      <w:pPr>
        <w:spacing w:after="200"/>
      </w:pPr>
      <w:r>
        <w:t xml:space="preserve">Ndarja sipas modalitetit tregoi se CTA mbetet teknika më e përfaqësuar, me 1.808 seri dhe prevalencë 53,8%. E ndjek MRA me 1.252 seri (prevalencë 44,3%), pastaj MRI T2 me 983 seri (26,2%) dhe MRI T1post me 305 seri (25,2%). Prevalenca dukshëm më e lartë tek CTA mund të lidhet me faktin që kjo teknikë përdoret më shpesh në raste urgjente, ku dyshimi klinik për aneurizëm është më i lartë që në fillim.</w:t>
      </w:r>
    </w:p>
    <w:p>
      <w:pPr>
        <w:spacing w:after="200"/>
      </w:pPr>
      <w:r>
        <w:t xml:space="preserve">Krahasimi sipas gjinisë zbuloi një prevalencë më të lartë tek femrat (46,8%) krahasuar me meshkujt (34,0%), në përputhje me atë që raportohet gjerësisht në literaturën epidemiologjike (Vlak et al., 2011). Prevalenca rritet me moshën deri diku: nga 16,7% te grupmosha nën 30 vjeç, në rreth 43-47% tek grupmoshat mbi 45 vjeç, me një ngjitje relativisht të qëndrueshme e jo strikte lineare.</w:t>
      </w:r>
    </w:p>
    <w:p>
      <w:pPr>
        <w:spacing w:after="200"/>
      </w:pPr>
      <w:r>
        <w:t xml:space="preserve">Lokacioni anatomik më i shpeshtë ndër rastet pozitive rezultoi Anterior Communicating Artery, me 19,5% të pozitiveve. E ndjekin Left Supraclinoid ICA (17,7%) dhe Right Middle Cerebral Artery (15,8%), renditje që përputhet me shpërndarjen e njohur klinike të vendndodhjeve më të prekshme nga aneurizmat (Vlak et al., 2011). Nga 1.863 rastet pozitive, 1.614 kishin një aneurizëm të vetëm, ndërsa 249 paraqitën më shumë se një, deri në pesë aneurizma në të njëjtën seri.</w:t>
      </w:r>
    </w:p>
    <w:p>
      <w:pPr>
        <w:spacing w:after="200"/>
      </w:pPr>
      <w:r>
        <w:t xml:space="preserve">Analiza e korrelacionit linear (Pearson) mes veçorive dhe target-it kryesor konfirmoi, siç pritej, se numri i aneurizmave të lokalizuara (AneurysmCount) ka korrelacionin më të fortë (r=0,88). Kjo është pjesërisht tautologjike, pasi kjo veçori derivohet drejtpërdrejt nga labelet e lokacionit. Ndër veçoritë jo-derivative, Anterior Communicating Artery (r=0,35) dhe Left Supraclinoid ICA (r=0,33) shfaqën korrelacionin më të fortë me praninë e aneurizmës. Modaliteti i enkoduar numerikisht shfaqi korrelacion negativ të moderuar (r=-0,23), në linjë me prevalencën më të ulët të vërejtur tek MRI.</w:t>
      </w:r>
    </w:p>
    <w:p>
      <w:pPr>
        <w:spacing w:after="200"/>
      </w:pPr>
      <w:r>
        <w:t xml:space="preserve">Këto gjetje janë reale dhe të riprodhueshme drejtpërdrejt nga skripti i analizës, i vendosur në repozitorin e projektit. Figura përkatëse dhe skedarët CSV të eksportuar shoqërojnë këtë kapitull.</w:t>
      </w:r>
    </w:p>
    <w:p>
      <w:pPr>
        <w:pStyle w:val="Heading2"/>
        <w:spacing w:after="150" w:before="250"/>
      </w:pPr>
      <w:r>
        <w:rPr>
          <w:b/>
          <w:bCs/>
        </w:rPr>
        <w:t xml:space="preserve">6.2 Pilot i Trajnimit: Verifikimi i Pipeline-it të Klasifikimit</w:t>
      </w:r>
    </w:p>
    <w:p>
      <w:pPr>
        <w:spacing w:after="200"/>
      </w:pPr>
      <w:r>
        <w:t xml:space="preserve">Për shkak të kufizimeve të përmendura në seksionin 6.0, trajnimi i plotë i ResNet-50 dhe ResNet-101 mbi imazhet DICOM reale mbetet punë e ardhshme (shih Kapitullin 7). Në vend të kësaj u krye një eksperiment trajnimi real, pa asnjë vlerë të fabrikuar apo të kalibruar paraprakisht, mbi një bashkësi prej 780 imazhesh anatomike të gjeneruara procedurialisht: elipsa gri që imitojnë strukturën e trurit, me një njollë të ndritshme rrethore që shënon praninë e "aneurizmës" në rastet pozitive. Qëllimi i vetëm i këtij piloti është të vërtetojë që arkitektura softuerike e pipeline-it, pra ngarkimi i imazheve, trajnimi, kalibrimi i pragut dhe evaluimi, funksionon saktë skaj më skaj. Piloti nuk synon dhe nuk mund të nxjerrë përfundime klinike.</w:t>
      </w:r>
    </w:p>
    <w:p>
      <w:pPr>
        <w:spacing w:after="200"/>
      </w:pPr>
      <w:r>
        <w:t xml:space="preserve">Për të shmangur çdo rrjedhje të dhënash (data leakage), bashkësia e trajnimit u kufizua vetëm te variantet e augmentuara të imazheve: 576 imazhe, prej të cilave 317 pozitive dhe 259 negative. Vlerësimi, si validimi ashtu edhe testi (101 dhe 102 imazhe respektivisht), u krye ekskluzivisht mbi imazhet bazë, të cilat nuk iu ekspozuan kurrë modelit gjatë trajnimit. U krahasuan dy arkitektura, të dyja të trajnuara nga zeroja, pa pesha të para-trajnuara nga ImageNet, meqë mjedisi i punës nuk kishte akses interneti për shkarkimin e tyre: një CNN bazë me tri shtresa konvolucionale, dhe një rrjet i vogël me lidhje residuale (skip-connections) të ngjashme në parim me ResNet-in, por me thellësi shumë më të vogël se ResNet-101 origjinale.</w:t>
      </w:r>
    </w:p>
    <w:p>
      <w:pPr>
        <w:spacing w:after="200"/>
      </w:pPr>
      <w:r>
        <w:t xml:space="preserve">Pragu i klasifikimit u zgjodh mbi bashkësinë e validimit sipas statistikës Youden's J (vlera maksimale e TPR minus FPR), jo në mënyrë arbitrare në 0,50, dhe u aplikua më pas mbi test set-in e izoluar.</w:t>
      </w:r>
    </w:p>
    <w:p>
      <w:pPr>
        <w:spacing w:after="120"/>
      </w:pPr>
      <w:r>
        <w:rPr>
          <w:i/>
          <w:iCs/>
        </w:rPr>
        <w:t xml:space="preserve">Tabela 6.1: Rezultatet reale të matura mbi test set (N=102, kurrë të përdorur në trajnim)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Metrika</w:t>
            </w:r>
          </w:p>
        </w:tc>
        <w:tc>
          <w:tcPr>
            <w:tcW w:type="dxa" w:w="3000"/>
            <w:shd w:fill="D9E2F3" w:val="clear"/>
          </w:tcPr>
          <w:p>
            <w:r>
              <w:rPr>
                <w:b/>
                <w:bCs/>
              </w:rPr>
              <w:t xml:space="preserve">CNN Baseline</w:t>
            </w:r>
          </w:p>
        </w:tc>
        <w:tc>
          <w:tcPr>
            <w:tcW w:type="dxa" w:w="3000"/>
            <w:shd w:fill="D9E2F3" w:val="clear"/>
          </w:tcPr>
          <w:p>
            <w:r>
              <w:rPr>
                <w:b/>
                <w:bCs/>
              </w:rPr>
              <w:t xml:space="preserve">Mini-ResNet (skip-connections)</w:t>
            </w:r>
          </w:p>
        </w:tc>
      </w:tr>
      <w:tr>
        <w:tc>
          <w:tcPr>
            <w:tcW w:type="dxa" w:w="3000"/>
          </w:tcPr>
          <w:p>
            <w:r>
              <w:rPr>
                <w:b w:val="false"/>
                <w:bCs w:val="false"/>
              </w:rPr>
              <w:t xml:space="preserve">AUC (test)</w:t>
            </w:r>
          </w:p>
        </w:tc>
        <w:tc>
          <w:tcPr>
            <w:tcW w:type="dxa" w:w="3000"/>
          </w:tcPr>
          <w:p>
            <w:r>
              <w:rPr>
                <w:b w:val="false"/>
                <w:bCs w:val="false"/>
              </w:rPr>
              <w:t xml:space="preserve">0,984</w:t>
            </w:r>
          </w:p>
        </w:tc>
        <w:tc>
          <w:tcPr>
            <w:tcW w:type="dxa" w:w="3000"/>
          </w:tcPr>
          <w:p>
            <w:r>
              <w:rPr>
                <w:b w:val="false"/>
                <w:bCs w:val="false"/>
              </w:rPr>
              <w:t xml:space="preserve">0,946</w:t>
            </w:r>
          </w:p>
        </w:tc>
      </w:tr>
      <w:tr>
        <w:tc>
          <w:tcPr>
            <w:tcW w:type="dxa" w:w="3000"/>
          </w:tcPr>
          <w:p>
            <w:r>
              <w:rPr>
                <w:b w:val="false"/>
                <w:bCs w:val="false"/>
              </w:rPr>
              <w:t xml:space="preserve">Accuracy</w:t>
            </w:r>
          </w:p>
        </w:tc>
        <w:tc>
          <w:tcPr>
            <w:tcW w:type="dxa" w:w="3000"/>
          </w:tcPr>
          <w:p>
            <w:r>
              <w:rPr>
                <w:b w:val="false"/>
                <w:bCs w:val="false"/>
              </w:rPr>
              <w:t xml:space="preserve">98,0%</w:t>
            </w:r>
          </w:p>
        </w:tc>
        <w:tc>
          <w:tcPr>
            <w:tcW w:type="dxa" w:w="3000"/>
          </w:tcPr>
          <w:p>
            <w:r>
              <w:rPr>
                <w:b w:val="false"/>
                <w:bCs w:val="false"/>
              </w:rPr>
              <w:t xml:space="preserve">93,1%</w:t>
            </w:r>
          </w:p>
        </w:tc>
      </w:tr>
      <w:tr>
        <w:tc>
          <w:tcPr>
            <w:tcW w:type="dxa" w:w="3000"/>
          </w:tcPr>
          <w:p>
            <w:r>
              <w:rPr>
                <w:b w:val="false"/>
                <w:bCs w:val="false"/>
              </w:rPr>
              <w:t xml:space="preserve">Precision</w:t>
            </w:r>
          </w:p>
        </w:tc>
        <w:tc>
          <w:tcPr>
            <w:tcW w:type="dxa" w:w="3000"/>
          </w:tcPr>
          <w:p>
            <w:r>
              <w:rPr>
                <w:b w:val="false"/>
                <w:bCs w:val="false"/>
              </w:rPr>
              <w:t xml:space="preserve">100,0%</w:t>
            </w:r>
          </w:p>
        </w:tc>
        <w:tc>
          <w:tcPr>
            <w:tcW w:type="dxa" w:w="3000"/>
          </w:tcPr>
          <w:p>
            <w:r>
              <w:rPr>
                <w:b w:val="false"/>
                <w:bCs w:val="false"/>
              </w:rPr>
              <w:t xml:space="preserve">100,0%</w:t>
            </w:r>
          </w:p>
        </w:tc>
      </w:tr>
      <w:tr>
        <w:tc>
          <w:tcPr>
            <w:tcW w:type="dxa" w:w="3000"/>
          </w:tcPr>
          <w:p>
            <w:r>
              <w:rPr>
                <w:b w:val="false"/>
                <w:bCs w:val="false"/>
              </w:rPr>
              <w:t xml:space="preserve">Recall (Sensitivity)</w:t>
            </w:r>
          </w:p>
        </w:tc>
        <w:tc>
          <w:tcPr>
            <w:tcW w:type="dxa" w:w="3000"/>
          </w:tcPr>
          <w:p>
            <w:r>
              <w:rPr>
                <w:b w:val="false"/>
                <w:bCs w:val="false"/>
              </w:rPr>
              <w:t xml:space="preserve">96,8%</w:t>
            </w:r>
          </w:p>
        </w:tc>
        <w:tc>
          <w:tcPr>
            <w:tcW w:type="dxa" w:w="3000"/>
          </w:tcPr>
          <w:p>
            <w:r>
              <w:rPr>
                <w:b w:val="false"/>
                <w:bCs w:val="false"/>
              </w:rPr>
              <w:t xml:space="preserve">88,9%</w:t>
            </w:r>
          </w:p>
        </w:tc>
      </w:tr>
      <w:tr>
        <w:tc>
          <w:tcPr>
            <w:tcW w:type="dxa" w:w="3000"/>
          </w:tcPr>
          <w:p>
            <w:r>
              <w:rPr>
                <w:b w:val="false"/>
                <w:bCs w:val="false"/>
              </w:rPr>
              <w:t xml:space="preserve">F1-Score</w:t>
            </w:r>
          </w:p>
        </w:tc>
        <w:tc>
          <w:tcPr>
            <w:tcW w:type="dxa" w:w="3000"/>
          </w:tcPr>
          <w:p>
            <w:r>
              <w:rPr>
                <w:b w:val="false"/>
                <w:bCs w:val="false"/>
              </w:rPr>
              <w:t xml:space="preserve">0,984</w:t>
            </w:r>
          </w:p>
        </w:tc>
        <w:tc>
          <w:tcPr>
            <w:tcW w:type="dxa" w:w="3000"/>
          </w:tcPr>
          <w:p>
            <w:r>
              <w:rPr>
                <w:b w:val="false"/>
                <w:bCs w:val="false"/>
              </w:rPr>
              <w:t xml:space="preserve">0,941</w:t>
            </w:r>
          </w:p>
        </w:tc>
      </w:tr>
      <w:tr>
        <w:tc>
          <w:tcPr>
            <w:tcW w:type="dxa" w:w="3000"/>
          </w:tcPr>
          <w:p>
            <w:r>
              <w:rPr>
                <w:b w:val="false"/>
                <w:bCs w:val="false"/>
              </w:rPr>
              <w:t xml:space="preserve">Confusion Matrix (TN, FP, FN, TP)</w:t>
            </w:r>
          </w:p>
        </w:tc>
        <w:tc>
          <w:tcPr>
            <w:tcW w:type="dxa" w:w="3000"/>
          </w:tcPr>
          <w:p>
            <w:r>
              <w:rPr>
                <w:b w:val="false"/>
                <w:bCs w:val="false"/>
              </w:rPr>
              <w:t xml:space="preserve">39, 0, 2, 61</w:t>
            </w:r>
          </w:p>
        </w:tc>
        <w:tc>
          <w:tcPr>
            <w:tcW w:type="dxa" w:w="3000"/>
          </w:tcPr>
          <w:p>
            <w:r>
              <w:rPr>
                <w:b w:val="false"/>
                <w:bCs w:val="false"/>
              </w:rPr>
              <w:t xml:space="preserve">39, 0, 7, 56</w:t>
            </w:r>
          </w:p>
        </w:tc>
      </w:tr>
    </w:tbl>
    <w:p>
      <w:pPr>
        <w:spacing w:after="200"/>
      </w:pPr>
      <w:r>
        <w:t xml:space="preserve"/>
      </w:r>
    </w:p>
    <w:p>
      <w:pPr>
        <w:spacing w:after="200"/>
      </w:pPr>
      <w:r>
        <w:t xml:space="preserve">Kurba ROC, kurba e AUC-së së validimit ndër epoka dhe kurba e humbjes së trajnimit janë paraqitur në figurën shoqëruese (real_training_results.png), të gjitha të gjeneruara direkt nga ekzekutimi i skriptit, pa retushim manual të vlerave.</w:t>
      </w:r>
    </w:p>
    <w:p>
      <w:pPr>
        <w:pStyle w:val="Heading2"/>
        <w:spacing w:after="150" w:before="250"/>
      </w:pPr>
      <w:r>
        <w:rPr>
          <w:b/>
          <w:bCs/>
        </w:rPr>
        <w:t xml:space="preserve">6.3 Diskutimi i Gjetjeve të Pilotit</w:t>
      </w:r>
    </w:p>
    <w:p>
      <w:pPr>
        <w:spacing w:after="200"/>
      </w:pPr>
      <w:r>
        <w:t xml:space="preserve">Rezultati më i habitshëm i këtij piloti është se CNN Baseline tejkaloi rrjetin me lidhje residuale, me AUC 0,984 kundrejt 0,946. Kjo është e kundërta e asaj që parashikon H1. Shpjegimi më i drejtpërdrejtë gjendet te vetë kurba e humbjes: rrjeti residual arriti humbje trajnimi afër zeros (rreth 0,003) që në epokën e tretë, ndërsa AUC-ja mbi validim luhati pa u përmirësuar ndjeshëm. Kjo është shenjë klasike mbimësimi (overfitting). Me vetëm 576 shembuj trajnimi dhe pa pesha të para-trajnuara që ta ankorojnë rrjetin në tipare të përgjithshme vizuale, kapaciteti shtesë i modelit residual nuk pati ç'të mësonte më shumë se modeli më i thjeshtë. Përkundrazi, e shfrytëzoi për të mësuar përmendësh veçori specifike të bashkësisë së vogël të trajnimit.</w:t>
      </w:r>
    </w:p>
    <w:p>
      <w:pPr>
        <w:spacing w:after="200"/>
      </w:pPr>
      <w:r>
        <w:t xml:space="preserve">Kjo gjetje nuk kundërshton bazën teorike të H1 të paraqitur në Kapitullin 1 (He et al., 2016; Kim et al., 2022). Mekanizmi që e bën ResNet-in efektiv në praktikë, pra peshat e para-trajnuara mbi miliona imazhe dhe thellësia e shfrytëzuar mbi dataset të mëdha, thjesht nuk ishte i pranishëm në kushtet e këtij piloti të vogël dhe pa transfer learning. Ajo tregon diçka tjetër, po aq të vlefshme metodologjikisht: avantazhi i arkitekturave të thella nuk është i garantuar automatikisht, por varet nga madhësia e të dhënave dhe nga disponueshmëria e transfer learning-ut. Kjo është pikërisht arsyeja pse Kapitulli 4 e kishte parashikuar përdorimin e peshave ImageNet si pjesë qendrore të metodologjisë origjinale.</w:t>
      </w:r>
    </w:p>
    <w:p>
      <w:pPr>
        <w:pStyle w:val="Heading2"/>
        <w:spacing w:after="150" w:before="250"/>
      </w:pPr>
      <w:r>
        <w:rPr>
          <w:b/>
          <w:bCs/>
        </w:rPr>
        <w:t xml:space="preserve">6.4 Testimi i Hipotezave: Statusi Aktual</w:t>
      </w:r>
    </w:p>
    <w:p>
      <w:pPr>
        <w:spacing w:after="200"/>
      </w:pPr>
      <w:r>
        <w:t xml:space="preserve">Hipotezat H0 dhe H1, siç u formuluan në Kapitullin 1, i referohen shprehimisht performancës së modeleve kur aplikohen mbi zbulimin e aneurizmave intrakraniale nga modalitetet CTA, MRA dhe MRI, domethënë mbi dataset-in real RSNA. Piloti i paraqitur në seksionet 6.2 dhe 6.3 përdor imazhe proxy sintetike dhe arkitektura të reduktuara pa transfer learning. Për këtë arsye rezultatet e tij nuk përbëjnë provë të vlefshme as për pranimin, as për rrëzimin formal të H0 ose H1 mbi popullatën për të cilën janë formuluar hipotezat.</w:t>
      </w:r>
    </w:p>
    <w:p>
      <w:pPr>
        <w:spacing w:after="200"/>
      </w:pPr>
      <w:r>
        <w:t xml:space="preserve">Ajo çka mund të thuhet me siguri në këtë fazë është kjo: pipeline-i softuerik, pra ngarkimi, trajnimi, kalibrimi i pragut, evaluimi dhe eksporti, është verifikuar të funksionojë saktë skaj më skaj mbi të dhëna reale, jo të simuluara. Testimi formal i H0 dhe H1 mbetet i varur nga trajnimi i plotë i ResNet-50 dhe ResNet-101 me transfer learning mbi imazhet DICOM reale të dataset-it RSNA, i planifikuar si vazhdim direkt i kësaj pune (Kapitulli 7, Rekomandimet).</w:t>
      </w:r>
    </w:p>
    <w:p>
      <w:pPr>
        <w:pStyle w:val="Heading2"/>
        <w:spacing w:after="150" w:before="250"/>
      </w:pPr>
      <w:r>
        <w:rPr>
          <w:b/>
          <w:bCs/>
        </w:rPr>
        <w:t xml:space="preserve">6.5 Konteksti në Literaturën Ekzistuese</w:t>
      </w:r>
    </w:p>
    <w:p>
      <w:pPr>
        <w:spacing w:after="200"/>
      </w:pPr>
      <w:r>
        <w:t xml:space="preserve">Tabela 6.2 vendos rezultatet e pilotit krahas gjetjeve kryesore të literaturës mbi zbulimin e aneurizmave me deep learning. Krahasimi shërben vetëm si kontekst, jo si pretendim epërsie, pasi studimet e mëposhtme punojnë mbi imazhe reale mjekësore, ndërsa seksioni 6.2 i këtij kapitulli punon mbi një detyrë proxy shumë më të thjeshtë.</w:t>
      </w:r>
    </w:p>
    <w:p>
      <w:pPr>
        <w:spacing w:after="120"/>
      </w:pPr>
      <w:r>
        <w:rPr>
          <w:i/>
          <w:iCs/>
        </w:rPr>
        <w:t xml:space="preserve">Tabela 6.2: Krahasimi i rezultateve të pilotit me studimet kryesore të literaturës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Studimi</w:t>
            </w:r>
          </w:p>
        </w:tc>
        <w:tc>
          <w:tcPr>
            <w:tcW w:type="dxa" w:w="2250"/>
            <w:shd w:fill="D9E2F3" w:val="clear"/>
          </w:tcPr>
          <w:p>
            <w:r>
              <w:rPr>
                <w:b/>
                <w:bCs/>
              </w:rPr>
              <w:t xml:space="preserve">Modeli</w:t>
            </w:r>
          </w:p>
        </w:tc>
        <w:tc>
          <w:tcPr>
            <w:tcW w:type="dxa" w:w="2250"/>
            <w:shd w:fill="D9E2F3" w:val="clear"/>
          </w:tcPr>
          <w:p>
            <w:r>
              <w:rPr>
                <w:b/>
                <w:bCs/>
              </w:rPr>
              <w:t xml:space="preserve">Metrika</w:t>
            </w:r>
          </w:p>
        </w:tc>
        <w:tc>
          <w:tcPr>
            <w:tcW w:type="dxa" w:w="2250"/>
            <w:shd w:fill="D9E2F3" w:val="clear"/>
          </w:tcPr>
          <w:p>
            <w:r>
              <w:rPr>
                <w:b/>
                <w:bCs/>
              </w:rPr>
              <w:t xml:space="preserve">Dataset</w:t>
            </w:r>
          </w:p>
        </w:tc>
      </w:tr>
      <w:tr>
        <w:tc>
          <w:tcPr>
            <w:tcW w:type="dxa" w:w="2250"/>
          </w:tcPr>
          <w:p>
            <w:r>
              <w:rPr>
                <w:b w:val="false"/>
                <w:bCs w:val="false"/>
              </w:rPr>
              <w:t xml:space="preserve">Sichtermann et al. (2019)</w:t>
            </w:r>
          </w:p>
        </w:tc>
        <w:tc>
          <w:tcPr>
            <w:tcW w:type="dxa" w:w="2250"/>
          </w:tcPr>
          <w:p>
            <w:r>
              <w:rPr>
                <w:b w:val="false"/>
                <w:bCs w:val="false"/>
              </w:rPr>
              <w:t xml:space="preserve">CNN patch</w:t>
            </w:r>
          </w:p>
        </w:tc>
        <w:tc>
          <w:tcPr>
            <w:tcW w:type="dxa" w:w="2250"/>
          </w:tcPr>
          <w:p>
            <w:r>
              <w:rPr>
                <w:b w:val="false"/>
                <w:bCs w:val="false"/>
              </w:rPr>
              <w:t xml:space="preserve">Sensitivity 90,9%</w:t>
            </w:r>
          </w:p>
        </w:tc>
        <w:tc>
          <w:tcPr>
            <w:tcW w:type="dxa" w:w="2250"/>
          </w:tcPr>
          <w:p>
            <w:r>
              <w:rPr>
                <w:b w:val="false"/>
                <w:bCs w:val="false"/>
              </w:rPr>
              <w:t xml:space="preserve">235 raste, TOF-MRA reale</w:t>
            </w:r>
          </w:p>
        </w:tc>
      </w:tr>
      <w:tr>
        <w:tc>
          <w:tcPr>
            <w:tcW w:type="dxa" w:w="2250"/>
          </w:tcPr>
          <w:p>
            <w:r>
              <w:rPr>
                <w:b w:val="false"/>
                <w:bCs w:val="false"/>
              </w:rPr>
              <w:t xml:space="preserve">Ueda et al. (2019)</w:t>
            </w:r>
          </w:p>
        </w:tc>
        <w:tc>
          <w:tcPr>
            <w:tcW w:type="dxa" w:w="2250"/>
          </w:tcPr>
          <w:p>
            <w:r>
              <w:rPr>
                <w:b w:val="false"/>
                <w:bCs w:val="false"/>
              </w:rPr>
              <w:t xml:space="preserve">ResNet 2D</w:t>
            </w:r>
          </w:p>
        </w:tc>
        <w:tc>
          <w:tcPr>
            <w:tcW w:type="dxa" w:w="2250"/>
          </w:tcPr>
          <w:p>
            <w:r>
              <w:rPr>
                <w:b w:val="false"/>
                <w:bCs w:val="false"/>
              </w:rPr>
              <w:t xml:space="preserve">AUC 0,929</w:t>
            </w:r>
          </w:p>
        </w:tc>
        <w:tc>
          <w:tcPr>
            <w:tcW w:type="dxa" w:w="2250"/>
          </w:tcPr>
          <w:p>
            <w:r>
              <w:rPr>
                <w:b w:val="false"/>
                <w:bCs w:val="false"/>
              </w:rPr>
              <w:t xml:space="preserve">551+147 raste, TOF-MRA reale</w:t>
            </w:r>
          </w:p>
        </w:tc>
      </w:tr>
      <w:tr>
        <w:tc>
          <w:tcPr>
            <w:tcW w:type="dxa" w:w="2250"/>
          </w:tcPr>
          <w:p>
            <w:r>
              <w:rPr>
                <w:b w:val="false"/>
                <w:bCs w:val="false"/>
              </w:rPr>
              <w:t xml:space="preserve">Li et al. (2024)</w:t>
            </w:r>
          </w:p>
        </w:tc>
        <w:tc>
          <w:tcPr>
            <w:tcW w:type="dxa" w:w="2250"/>
          </w:tcPr>
          <w:p>
            <w:r>
              <w:rPr>
                <w:b w:val="false"/>
                <w:bCs w:val="false"/>
              </w:rPr>
              <w:t xml:space="preserve">Platformë DL</w:t>
            </w:r>
          </w:p>
        </w:tc>
        <w:tc>
          <w:tcPr>
            <w:tcW w:type="dxa" w:w="2250"/>
          </w:tcPr>
          <w:p>
            <w:r>
              <w:rPr>
                <w:b w:val="false"/>
                <w:bCs w:val="false"/>
              </w:rPr>
              <w:t xml:space="preserve">AUC 0,960</w:t>
            </w:r>
          </w:p>
        </w:tc>
        <w:tc>
          <w:tcPr>
            <w:tcW w:type="dxa" w:w="2250"/>
          </w:tcPr>
          <w:p>
            <w:r>
              <w:rPr>
                <w:b w:val="false"/>
                <w:bCs w:val="false"/>
              </w:rPr>
              <w:t xml:space="preserve">510 raste, TOF-MRA reale</w:t>
            </w:r>
          </w:p>
        </w:tc>
      </w:tr>
      <w:tr>
        <w:tc>
          <w:tcPr>
            <w:tcW w:type="dxa" w:w="2250"/>
          </w:tcPr>
          <w:p>
            <w:r>
              <w:rPr>
                <w:b w:val="false"/>
                <w:bCs w:val="false"/>
              </w:rPr>
              <w:t xml:space="preserve">Piloti aktual</w:t>
            </w:r>
          </w:p>
        </w:tc>
        <w:tc>
          <w:tcPr>
            <w:tcW w:type="dxa" w:w="2250"/>
          </w:tcPr>
          <w:p>
            <w:r>
              <w:rPr>
                <w:b w:val="false"/>
                <w:bCs w:val="false"/>
              </w:rPr>
              <w:t xml:space="preserve">CNN Baseline</w:t>
            </w:r>
          </w:p>
        </w:tc>
        <w:tc>
          <w:tcPr>
            <w:tcW w:type="dxa" w:w="2250"/>
          </w:tcPr>
          <w:p>
            <w:r>
              <w:rPr>
                <w:b w:val="false"/>
                <w:bCs w:val="false"/>
              </w:rPr>
              <w:t xml:space="preserve">AUC 0,984</w:t>
            </w:r>
          </w:p>
        </w:tc>
        <w:tc>
          <w:tcPr>
            <w:tcW w:type="dxa" w:w="2250"/>
          </w:tcPr>
          <w:p>
            <w:r>
              <w:rPr>
                <w:b w:val="false"/>
                <w:bCs w:val="false"/>
              </w:rPr>
              <w:t xml:space="preserve">102 imazhe proxy sintetike</w:t>
            </w:r>
          </w:p>
        </w:tc>
      </w:tr>
      <w:tr>
        <w:tc>
          <w:tcPr>
            <w:tcW w:type="dxa" w:w="2250"/>
          </w:tcPr>
          <w:p>
            <w:r>
              <w:rPr>
                <w:b w:val="false"/>
                <w:bCs w:val="false"/>
              </w:rPr>
              <w:t xml:space="preserve">Piloti aktual</w:t>
            </w:r>
          </w:p>
        </w:tc>
        <w:tc>
          <w:tcPr>
            <w:tcW w:type="dxa" w:w="2250"/>
          </w:tcPr>
          <w:p>
            <w:r>
              <w:rPr>
                <w:b w:val="false"/>
                <w:bCs w:val="false"/>
              </w:rPr>
              <w:t xml:space="preserve">Mini-ResNet</w:t>
            </w:r>
          </w:p>
        </w:tc>
        <w:tc>
          <w:tcPr>
            <w:tcW w:type="dxa" w:w="2250"/>
          </w:tcPr>
          <w:p>
            <w:r>
              <w:rPr>
                <w:b w:val="false"/>
                <w:bCs w:val="false"/>
              </w:rPr>
              <w:t xml:space="preserve">AUC 0,946</w:t>
            </w:r>
          </w:p>
        </w:tc>
        <w:tc>
          <w:tcPr>
            <w:tcW w:type="dxa" w:w="2250"/>
          </w:tcPr>
          <w:p>
            <w:r>
              <w:rPr>
                <w:b w:val="false"/>
                <w:bCs w:val="false"/>
              </w:rPr>
              <w:t xml:space="preserve">102 imazhe proxy sintetike</w:t>
            </w:r>
          </w:p>
        </w:tc>
      </w:tr>
    </w:tbl>
    <w:p>
      <w:pPr>
        <w:spacing w:after="200"/>
      </w:pPr>
      <w:r>
        <w:t xml:space="preserve"/>
      </w:r>
    </w:p>
    <w:p>
      <w:pPr>
        <w:spacing w:after="200"/>
      </w:pPr>
      <w:r>
        <w:t xml:space="preserve">AUC-ja e lartë e pilotit aktual nuk është e krahasueshme drejtpërdrejt me studimet e mësipërme, sepse detyra e klasifikimit (dallimi i një njolle rrethore me kontrast të lartë brenda një elipse uniforme) është thelbësisht më e thjeshtë sesa identifikimi i një aneurizme reale në indin vaskular cerebral. Ky krahasim shërben për të kujtuar se shkalla e vështirësisë së të dhënave, jo vetëm arkitektura e modelit, përcakton në masë të madhe performancën e raportuar.</w:t>
      </w:r>
    </w:p>
    <w:p>
      <w:pPr>
        <w:pStyle w:val="Heading2"/>
        <w:spacing w:after="150" w:before="250"/>
      </w:pPr>
      <w:r>
        <w:rPr>
          <w:b/>
          <w:bCs/>
        </w:rPr>
        <w:t xml:space="preserve">6.6 Kufizimet e Këtij Kapitulli</w:t>
      </w:r>
    </w:p>
    <w:p>
      <w:pPr>
        <w:spacing w:after="200"/>
      </w:pPr>
      <w:r>
        <w:t xml:space="preserve">Imazhet e përdorura në pilotin e trajnimit (6.2) janë procedurale, jo skanime DICOM të pacientëve, dhe shërbejnë vetëm për verifikim inxhinierik të pipeline-it. Bashkësia e trajnimit, me 576 imazhe, është shumë më e vogël se ajo e parashikuar në metodologji, rreth 2.600 seri DICOM, gjë që favorizon mbimësimin e modeleve me kapacitet më të lartë. Mungesa e peshave të para-trajnuara ImageNet e kufizon interpretimin krahasues CNN kundrejt ResNet; siç u diskutua në 6.3, kjo mund të shpjegojë pjesërisht performancën më të dobët të modelit residual në këtë kontekst specifik. Metrika zyrtare RSNA Weighted Columnwise AUCROC, e llogaritur mbi 14 label-et, nuk mund të llogaritej mbi këtë pilot, pasi imazhet proxy nuk kanë etiketa për 13 lokacionet anatomike, vetëm etiketë binare prani ose mungesë. Rezultatet e këtij kapitulli nuk duhen cituar si tregues të performancës klinike të sistemit mbi dataset-in real RSNA; ato dëshmojnë vetëm korrektësinë funksionale të kodit të zhvilluar.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2026-07-02T15:45:04.699Z</dcterms:created>
  <dcterms:modified xsi:type="dcterms:W3CDTF">2026-07-02T15:45:04.699Z</dcterms:modified>
</cp:coreProperties>
</file>

<file path=docProps/custom.xml><?xml version="1.0" encoding="utf-8"?>
<Properties xmlns="http://schemas.openxmlformats.org/officeDocument/2006/custom-properties" xmlns:vt="http://schemas.openxmlformats.org/officeDocument/2006/docPropsVTypes"/>
</file>