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  <w:r>
        <w:rPr>
          <w:rFonts w:ascii="Times New Roman" w:hAnsi="Times New Roman"/>
          <w:sz w:val="24"/>
        </w:rPr>
        <w:t>/</w:t>
      </w:r>
      <w:r w:rsidRPr="004E7A6F">
        <w:rPr>
          <w:rFonts w:ascii="Times New Roman" w:hAnsi="Times New Roman"/>
          <w:sz w:val="24"/>
        </w:rPr>
        <w:t>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Redaktør for Blindernåret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Tidsbestemte roller: Jule- og </w:t>
      </w:r>
      <w:proofErr w:type="spellStart"/>
      <w:r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Arkivar/skapoppmann, Bibliotekar og Dugnadsledere som ansettes for ett år av gangen. Unntak gjelder også de tidsbestemte præces-rollene og medisinalkollegiet som utnevnes fritt og Redaktør for Blindernåret som engasjeres i ett og et halvt år.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proofErr w:type="gramStart"/>
      <w:r>
        <w:rPr>
          <w:rFonts w:ascii="Times New Roman" w:hAnsi="Times New Roman"/>
          <w:sz w:val="24"/>
          <w:u w:val="single"/>
        </w:rPr>
        <w:t xml:space="preserve"> (per.</w:t>
      </w:r>
      <w:proofErr w:type="gram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mnd</w:t>
      </w:r>
      <w:proofErr w:type="spellEnd"/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Arkivar/skapoppmann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Bibliotekar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12,5 %</w:t>
      </w:r>
    </w:p>
    <w:p w:rsidR="002F29E4" w:rsidRPr="001E2BA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12,5 % </w:t>
      </w:r>
      <w:r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Pr="00A7679E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  <w:lang w:val="nn-NO"/>
        </w:rPr>
      </w:pPr>
      <w:r w:rsidRPr="00C17B1B">
        <w:rPr>
          <w:rFonts w:ascii="Times New Roman" w:hAnsi="Times New Roman"/>
          <w:sz w:val="24"/>
        </w:rPr>
        <w:t>Red</w:t>
      </w:r>
      <w:r>
        <w:rPr>
          <w:rFonts w:ascii="Times New Roman" w:hAnsi="Times New Roman"/>
          <w:sz w:val="24"/>
          <w:lang w:val="nn-NO"/>
        </w:rPr>
        <w:t>aktør for</w:t>
      </w:r>
      <w:r w:rsidRPr="00A7679E">
        <w:rPr>
          <w:rFonts w:ascii="Times New Roman" w:hAnsi="Times New Roman"/>
          <w:sz w:val="24"/>
          <w:lang w:val="nn-NO"/>
        </w:rPr>
        <w:t xml:space="preserve"> </w:t>
      </w:r>
      <w:proofErr w:type="spellStart"/>
      <w:r w:rsidRPr="00A7679E">
        <w:rPr>
          <w:rFonts w:ascii="Times New Roman" w:hAnsi="Times New Roman"/>
          <w:sz w:val="24"/>
          <w:lang w:val="nn-NO"/>
        </w:rPr>
        <w:t>Blindernåret</w:t>
      </w:r>
      <w:proofErr w:type="spellEnd"/>
      <w:r w:rsidRPr="00A7679E">
        <w:rPr>
          <w:rFonts w:ascii="Times New Roman" w:hAnsi="Times New Roman"/>
          <w:sz w:val="24"/>
          <w:lang w:val="nn-NO"/>
        </w:rPr>
        <w:tab/>
      </w:r>
      <w:r w:rsidRPr="00A7679E">
        <w:rPr>
          <w:rFonts w:ascii="Times New Roman" w:hAnsi="Times New Roman"/>
          <w:sz w:val="24"/>
          <w:lang w:val="nn-NO"/>
        </w:rPr>
        <w:tab/>
        <w:t>Dugnadsfri</w:t>
      </w:r>
      <w:r>
        <w:rPr>
          <w:rFonts w:ascii="Times New Roman" w:hAnsi="Times New Roman"/>
          <w:sz w:val="24"/>
          <w:lang w:val="nn-NO"/>
        </w:rPr>
        <w:t xml:space="preserve"> i to semester</w:t>
      </w:r>
    </w:p>
    <w:p w:rsidR="002F29E4" w:rsidRPr="00AF350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  <w:r>
        <w:rPr>
          <w:rFonts w:ascii="Times New Roman" w:hAnsi="Times New Roman"/>
          <w:sz w:val="24"/>
        </w:rPr>
        <w:br/>
        <w:t xml:space="preserve">  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(kollegiet@blindern-studenterhjem.no) hvorpå den lagres elektronisk i Kollegiets arkiv.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 xml:space="preserve">den relevante stillingsinnehaver. </w:t>
      </w:r>
      <w:bookmarkStart w:id="0" w:name="_GoBack"/>
      <w:bookmarkEnd w:id="0"/>
      <w:r>
        <w:rPr>
          <w:rFonts w:ascii="Times New Roman" w:hAnsi="Times New Roman"/>
          <w:sz w:val="24"/>
        </w:rPr>
        <w:t>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</w:t>
      </w:r>
      <w:r>
        <w:rPr>
          <w:rFonts w:ascii="Times New Roman" w:hAnsi="Times New Roman"/>
          <w:sz w:val="24"/>
        </w:rPr>
        <w:t>.1</w:t>
      </w:r>
      <w:r>
        <w:rPr>
          <w:rFonts w:ascii="Times New Roman" w:hAnsi="Times New Roman"/>
          <w:sz w:val="24"/>
        </w:rPr>
        <w:t>6</w:t>
      </w:r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7A6F"/>
    <w:rsid w:val="00007E44"/>
    <w:rsid w:val="001961F4"/>
    <w:rsid w:val="002F29E4"/>
    <w:rsid w:val="0036711C"/>
    <w:rsid w:val="00440694"/>
    <w:rsid w:val="004E7A6F"/>
    <w:rsid w:val="005E5802"/>
    <w:rsid w:val="00655073"/>
    <w:rsid w:val="00856E45"/>
    <w:rsid w:val="00A07479"/>
    <w:rsid w:val="00A7679E"/>
    <w:rsid w:val="00AF3504"/>
    <w:rsid w:val="00AF63A3"/>
    <w:rsid w:val="00B01528"/>
    <w:rsid w:val="00B9698D"/>
    <w:rsid w:val="00C17B1B"/>
    <w:rsid w:val="00CB1508"/>
    <w:rsid w:val="00CB6831"/>
    <w:rsid w:val="00E13454"/>
    <w:rsid w:val="00EB4274"/>
    <w:rsid w:val="00EF4FCC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3CB7B-DC8E-469A-B4F8-23CE0047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Henrik Cornelius Løvenørn</dc:creator>
  <cp:lastModifiedBy>Henrik Cornelius Løvenørn</cp:lastModifiedBy>
  <cp:revision>2</cp:revision>
  <dcterms:created xsi:type="dcterms:W3CDTF">2016-11-07T19:09:00Z</dcterms:created>
  <dcterms:modified xsi:type="dcterms:W3CDTF">2016-11-07T19:09:00Z</dcterms:modified>
</cp:coreProperties>
</file>