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pict>
          <v:shape type="#_x0000_t75" stroked="f" style="width:90pt; height:104pt; margin-left:0pt; margin-top:0pt; mso-position-horizontal:left; mso-position-vertical:top; mso-position-horizontal-relative:char; mso-position-vertical-relative:line;">
            <w10:wrap type="inline"/>
            <v:imagedata r:id="rId7" o:title=""/>
          </v:shape>
        </w:pict>
      </w:r>
    </w:p>
    <w:p/>
    <w:p>
      <w:pPr>
        <w:jc w:val="center"/>
      </w:pPr>
      <w:r>
        <w:rPr>
          <w:color w:val="1E40AF"/>
          <w:sz w:val="56"/>
          <w:szCs w:val="56"/>
          <w:b w:val="1"/>
          <w:bCs w:val="1"/>
        </w:rPr>
        <w:t xml:space="preserve">TRI-E ENTERPRISES</w:t>
      </w:r>
    </w:p>
    <w:p>
      <w:pPr>
        <w:jc w:val="center"/>
        <w:spacing w:after="200"/>
      </w:pPr>
      <w:r>
        <w:rPr>
          <w:color w:val="374151"/>
          <w:sz w:val="32"/>
          <w:szCs w:val="32"/>
        </w:rPr>
        <w:t xml:space="preserve">Payroll Module Documentation</w:t>
      </w:r>
    </w:p>
    <w:p>
      <w:pPr>
        <w:jc w:val="center"/>
      </w:pPr>
      <w:r>
        <w:rPr>
          <w:color w:val="6B7280"/>
          <w:sz w:val="24"/>
          <w:szCs w:val="24"/>
          <w:i w:val="1"/>
          <w:iCs w:val="1"/>
        </w:rPr>
        <w:t xml:space="preserve">Purpose, Workflow and Reference Guide</w:t>
      </w:r>
    </w:p>
    <w:p/>
    <w:p/>
    <w:p>
      <w:pPr>
        <w:jc w:val="center"/>
      </w:pPr>
      <w:r>
        <w:rPr>
          <w:color w:val="6B7280"/>
          <w:sz w:val="20"/>
          <w:szCs w:val="20"/>
        </w:rPr>
        <w:t xml:space="preserve">Prepared: August 20, 2026</w:t>
      </w:r>
    </w:p>
    <w:p>
      <w:r>
        <w:br w:type="page"/>
      </w:r>
    </w:p>
    <w:p>
      <w:pPr>
        <w:pStyle w:val="Heading1"/>
      </w:pPr>
      <w:bookmarkStart w:id="0" w:name="_Toc0"/>
      <w:r>
        <w:t>1. Purpose of the Payroll Module</w:t>
      </w:r>
      <w:bookmarkEnd w:id="0"/>
    </w:p>
    <w:p>
      <w:pPr/>
      <w:r>
        <w:rPr>
          <w:color w:val="333333"/>
          <w:sz w:val="22"/>
          <w:szCs w:val="22"/>
        </w:rPr>
        <w:t xml:space="preserve">The Payroll module exists to compute what every Tri-E Enterprises employee is owed each pay period, consistently and auditable. Instead of a spreadsheet re-built by hand every cutoff, it derives pay directly from the attendance, leave, and compensation records already kept in the system, then produces a locked, reviewable payroll run that can be approved, marked as paid, and exported as an official PDF statement.</w:t>
      </w:r>
    </w:p>
    <w:p/>
    <w:p>
      <w:pPr/>
      <w:r>
        <w:rPr>
          <w:color w:val="333333"/>
          <w:sz w:val="22"/>
          <w:szCs w:val="22"/>
          <w:b w:val="1"/>
          <w:bCs w:val="1"/>
        </w:rPr>
        <w:t xml:space="preserve">Specifically, the module is built to:</w:t>
      </w:r>
    </w:p>
    <w:p>
      <w:pPr>
        <w:spacing w:after="60"/>
        <w:numPr>
          <w:ilvl w:val="0"/>
          <w:numId w:val=""/>
        </w:numPr>
      </w:pPr>
      <w:r>
        <w:rPr>
          <w:color w:val="333333"/>
          <w:sz w:val="22"/>
          <w:szCs w:val="22"/>
        </w:rPr>
        <w:t xml:space="preserve">Turn raw attendance (present, late, half-day, absent) into accurate days-worked and days-absent figures per employee.</w:t>
      </w:r>
    </w:p>
    <w:p>
      <w:pPr>
        <w:spacing w:after="60"/>
        <w:numPr>
          <w:ilvl w:val="0"/>
          <w:numId w:val=""/>
        </w:numPr>
      </w:pPr>
      <w:r>
        <w:rPr>
          <w:color w:val="333333"/>
          <w:sz w:val="22"/>
          <w:szCs w:val="22"/>
        </w:rPr>
        <w:t xml:space="preserve">Honor each employee's own weekly rest day(s), so those days never count against attendance.</w:t>
      </w:r>
    </w:p>
    <w:p>
      <w:pPr>
        <w:spacing w:after="60"/>
        <w:numPr>
          <w:ilvl w:val="0"/>
          <w:numId w:val=""/>
        </w:numPr>
      </w:pPr>
      <w:r>
        <w:rPr>
          <w:color w:val="333333"/>
          <w:sz w:val="22"/>
          <w:szCs w:val="22"/>
        </w:rPr>
        <w:t xml:space="preserve">Credit approved, paid leave as worked time automatically.</w:t>
      </w:r>
    </w:p>
    <w:p>
      <w:pPr>
        <w:spacing w:after="60"/>
        <w:numPr>
          <w:ilvl w:val="0"/>
          <w:numId w:val=""/>
        </w:numPr>
      </w:pPr>
      <w:r>
        <w:rPr>
          <w:color w:val="333333"/>
          <w:sz w:val="22"/>
          <w:szCs w:val="22"/>
        </w:rPr>
        <w:t xml:space="preserve">Apply consistent late-arrival deductions, either per minute or as a fixed amount per occurrence.</w:t>
      </w:r>
    </w:p>
    <w:p>
      <w:pPr>
        <w:spacing w:after="60"/>
        <w:numPr>
          <w:ilvl w:val="0"/>
          <w:numId w:val=""/>
        </w:numPr>
      </w:pPr>
      <w:r>
        <w:rPr>
          <w:color w:val="333333"/>
          <w:sz w:val="22"/>
          <w:szCs w:val="22"/>
        </w:rPr>
        <w:t xml:space="preserve">Compute statutory government deductions (SSS, PhilHealth, Pag-IBIG) per employee, only where enabled for that employee.</w:t>
      </w:r>
    </w:p>
    <w:p>
      <w:pPr>
        <w:spacing w:after="60"/>
        <w:numPr>
          <w:ilvl w:val="0"/>
          <w:numId w:val=""/>
        </w:numPr>
      </w:pPr>
      <w:r>
        <w:rPr>
          <w:color w:val="333333"/>
          <w:sz w:val="22"/>
          <w:szCs w:val="22"/>
        </w:rPr>
        <w:t xml:space="preserve">Keep a permanent, status-tracked record of every payroll run - Draft, Approved, Paid, or Cancelled - with who generated and approved it.</w:t>
      </w:r>
    </w:p>
    <w:p>
      <w:pPr>
        <w:spacing w:after="60"/>
        <w:numPr>
          <w:ilvl w:val="0"/>
          <w:numId w:val=""/>
        </w:numPr>
      </w:pPr>
      <w:r>
        <w:rPr>
          <w:color w:val="333333"/>
          <w:sz w:val="22"/>
          <w:szCs w:val="22"/>
        </w:rPr>
        <w:t xml:space="preserve">Produce a printable and exportable PDF payroll statement for record-keeping and disbursement.</w:t>
      </w:r>
    </w:p>
    <w:p>
      <w:pPr>
        <w:pStyle w:val="Heading1"/>
      </w:pPr>
      <w:bookmarkStart w:id="1" w:name="_Toc1"/>
      <w:r>
        <w:t>2. Data It Depends On</w:t>
      </w:r>
      <w:bookmarkEnd w:id="1"/>
    </w:p>
    <w:p>
      <w:pPr/>
      <w:r>
        <w:rPr>
          <w:color w:val="333333"/>
          <w:sz w:val="22"/>
          <w:szCs w:val="22"/>
        </w:rPr>
        <w:t xml:space="preserve">Payroll does not collect its own data - it reads from records maintained elsewhere in the system. Before a payroll run will produce meaningful numbers, the following must exist for each employee:</w:t>
      </w:r>
    </w:p>
    <w:p/>
    <w:tbl>
      <w:tblGrid>
        <w:gridCol w:w="3200" w:type="dxa"/>
        <w:gridCol w:w="3200" w:type="dxa"/>
        <w:gridCol w:w="3200" w:type="dxa"/>
      </w:tblGrid>
      <w:tblPr>
        <w:tblStyle w:val="DefaultTable"/>
      </w:tblPr>
      <w:tr>
        <w:trPr>
          <w:trHeight w:val="400" w:hRule="atLeast"/>
          <w:tblHeader w:val="1"/>
        </w:trPr>
        <w:tc>
          <w:tcPr>
            <w:tcW w:w="3200" w:type="dxa"/>
            <w:shd w:val="clear" w:fill="1E40AF"/>
            <w:noWrap/>
          </w:tcPr>
          <w:p>
            <w:pPr/>
            <w:r>
              <w:rPr>
                <w:color w:val="FFFFFF"/>
                <w:sz w:val="20"/>
                <w:szCs w:val="20"/>
                <w:b w:val="1"/>
                <w:bCs w:val="1"/>
              </w:rPr>
              <w:t xml:space="preserve">Record</w:t>
            </w:r>
          </w:p>
        </w:tc>
        <w:tc>
          <w:tcPr>
            <w:tcW w:w="3200" w:type="dxa"/>
            <w:shd w:val="clear" w:fill="1E40AF"/>
            <w:noWrap/>
          </w:tcPr>
          <w:p>
            <w:pPr/>
            <w:r>
              <w:rPr>
                <w:color w:val="FFFFFF"/>
                <w:sz w:val="20"/>
                <w:szCs w:val="20"/>
                <w:b w:val="1"/>
                <w:bCs w:val="1"/>
              </w:rPr>
              <w:t xml:space="preserve">Where It's Managed</w:t>
            </w:r>
          </w:p>
        </w:tc>
        <w:tc>
          <w:tcPr>
            <w:tcW w:w="3200" w:type="dxa"/>
            <w:shd w:val="clear" w:fill="1E40AF"/>
            <w:noWrap/>
          </w:tcPr>
          <w:p>
            <w:pPr/>
            <w:r>
              <w:rPr>
                <w:color w:val="FFFFFF"/>
                <w:sz w:val="20"/>
                <w:szCs w:val="20"/>
                <w:b w:val="1"/>
                <w:bCs w:val="1"/>
              </w:rPr>
              <w:t xml:space="preserve">What Payroll Uses It For</w:t>
            </w:r>
          </w:p>
        </w:tc>
      </w:tr>
      <w:tr>
        <w:trPr/>
        <w:tc>
          <w:tcPr>
            <w:tcW w:w="2200" w:type="dxa"/>
            <w:noWrap/>
          </w:tcPr>
          <w:p>
            <w:pPr/>
            <w:r>
              <w:rPr>
                <w:color w:val="333333"/>
                <w:sz w:val="20"/>
                <w:szCs w:val="20"/>
              </w:rPr>
              <w:t xml:space="preserve">Employee</w:t>
            </w:r>
          </w:p>
        </w:tc>
        <w:tc>
          <w:tcPr>
            <w:tcW w:w="2800" w:type="dxa"/>
            <w:noWrap/>
          </w:tcPr>
          <w:p>
            <w:pPr/>
            <w:r>
              <w:rPr>
                <w:color w:val="333333"/>
                <w:sz w:val="20"/>
                <w:szCs w:val="20"/>
              </w:rPr>
              <w:t xml:space="preserve">Attendance Management &gt; Employees</w:t>
            </w:r>
          </w:p>
        </w:tc>
        <w:tc>
          <w:tcPr>
            <w:tcW w:w="4400" w:type="dxa"/>
            <w:noWrap/>
          </w:tcPr>
          <w:p>
            <w:pPr/>
            <w:r>
              <w:rPr>
                <w:color w:val="333333"/>
                <w:sz w:val="20"/>
                <w:szCs w:val="20"/>
              </w:rPr>
              <w:t xml:space="preserve">Identity, active/inactive status, biometric enrollment.</w:t>
            </w:r>
          </w:p>
        </w:tc>
      </w:tr>
      <w:tr>
        <w:trPr/>
        <w:tc>
          <w:tcPr>
            <w:tcW w:w="2200" w:type="dxa"/>
            <w:noWrap/>
          </w:tcPr>
          <w:p>
            <w:pPr/>
            <w:r>
              <w:rPr>
                <w:color w:val="333333"/>
                <w:sz w:val="20"/>
                <w:szCs w:val="20"/>
              </w:rPr>
              <w:t xml:space="preserve">Employee Compensation</w:t>
            </w:r>
          </w:p>
        </w:tc>
        <w:tc>
          <w:tcPr>
            <w:tcW w:w="2800" w:type="dxa"/>
            <w:noWrap/>
          </w:tcPr>
          <w:p>
            <w:pPr/>
            <w:r>
              <w:rPr>
                <w:color w:val="333333"/>
                <w:sz w:val="20"/>
                <w:szCs w:val="20"/>
              </w:rPr>
              <w:t xml:space="preserve">Payroll &gt; Employee Compensation</w:t>
            </w:r>
          </w:p>
        </w:tc>
        <w:tc>
          <w:tcPr>
            <w:tcW w:w="4400" w:type="dxa"/>
            <w:noWrap/>
          </w:tcPr>
          <w:p>
            <w:pPr/>
            <w:r>
              <w:rPr>
                <w:color w:val="333333"/>
                <w:sz w:val="20"/>
                <w:szCs w:val="20"/>
              </w:rPr>
              <w:t xml:space="preserve">Daily rate, pay period type, day(s) off, government contribution toggles, OT multiplier, late-deduction rule, allowance.</w:t>
            </w:r>
          </w:p>
        </w:tc>
      </w:tr>
      <w:tr>
        <w:trPr/>
        <w:tc>
          <w:tcPr>
            <w:tcW w:w="2200" w:type="dxa"/>
            <w:noWrap/>
          </w:tcPr>
          <w:p>
            <w:pPr/>
            <w:r>
              <w:rPr>
                <w:color w:val="333333"/>
                <w:sz w:val="20"/>
                <w:szCs w:val="20"/>
              </w:rPr>
              <w:t xml:space="preserve">Attendance</w:t>
            </w:r>
          </w:p>
        </w:tc>
        <w:tc>
          <w:tcPr>
            <w:tcW w:w="2800" w:type="dxa"/>
            <w:noWrap/>
          </w:tcPr>
          <w:p>
            <w:pPr/>
            <w:r>
              <w:rPr>
                <w:color w:val="333333"/>
                <w:sz w:val="20"/>
                <w:szCs w:val="20"/>
              </w:rPr>
              <w:t xml:space="preserve">Attendance Management &gt; Attendance</w:t>
            </w:r>
          </w:p>
        </w:tc>
        <w:tc>
          <w:tcPr>
            <w:tcW w:w="4400" w:type="dxa"/>
            <w:noWrap/>
          </w:tcPr>
          <w:p>
            <w:pPr/>
            <w:r>
              <w:rPr>
                <w:color w:val="333333"/>
                <w:sz w:val="20"/>
                <w:szCs w:val="20"/>
              </w:rPr>
              <w:t xml:space="preserve">Daily time in/out and status; source of days worked, absences, and lateness.</w:t>
            </w:r>
          </w:p>
        </w:tc>
      </w:tr>
      <w:tr>
        <w:trPr/>
        <w:tc>
          <w:tcPr>
            <w:tcW w:w="2200" w:type="dxa"/>
            <w:noWrap/>
          </w:tcPr>
          <w:p>
            <w:pPr/>
            <w:r>
              <w:rPr>
                <w:color w:val="333333"/>
                <w:sz w:val="20"/>
                <w:szCs w:val="20"/>
              </w:rPr>
              <w:t xml:space="preserve">Leave Requests</w:t>
            </w:r>
          </w:p>
        </w:tc>
        <w:tc>
          <w:tcPr>
            <w:tcW w:w="2800" w:type="dxa"/>
            <w:noWrap/>
          </w:tcPr>
          <w:p>
            <w:pPr/>
            <w:r>
              <w:rPr>
                <w:color w:val="333333"/>
                <w:sz w:val="20"/>
                <w:szCs w:val="20"/>
              </w:rPr>
              <w:t xml:space="preserve">Attendance Management &gt; Leave Requests</w:t>
            </w:r>
          </w:p>
        </w:tc>
        <w:tc>
          <w:tcPr>
            <w:tcW w:w="4400" w:type="dxa"/>
            <w:noWrap/>
          </w:tcPr>
          <w:p>
            <w:pPr/>
            <w:r>
              <w:rPr>
                <w:color w:val="333333"/>
                <w:sz w:val="20"/>
                <w:szCs w:val="20"/>
              </w:rPr>
              <w:t xml:space="preserve">Approved, paid leave is counted as a worked day for payroll purposes.</w:t>
            </w:r>
          </w:p>
        </w:tc>
      </w:tr>
      <w:tr>
        <w:trPr/>
        <w:tc>
          <w:tcPr>
            <w:tcW w:w="2200" w:type="dxa"/>
            <w:noWrap/>
          </w:tcPr>
          <w:p>
            <w:pPr/>
            <w:r>
              <w:rPr>
                <w:color w:val="333333"/>
                <w:sz w:val="20"/>
                <w:szCs w:val="20"/>
              </w:rPr>
              <w:t xml:space="preserve">Government Contribution Tables</w:t>
            </w:r>
          </w:p>
        </w:tc>
        <w:tc>
          <w:tcPr>
            <w:tcW w:w="2800" w:type="dxa"/>
            <w:noWrap/>
          </w:tcPr>
          <w:p>
            <w:pPr/>
            <w:r>
              <w:rPr>
                <w:color w:val="333333"/>
                <w:sz w:val="20"/>
                <w:szCs w:val="20"/>
              </w:rPr>
              <w:t xml:space="preserve">System-maintained brackets</w:t>
            </w:r>
          </w:p>
        </w:tc>
        <w:tc>
          <w:tcPr>
            <w:tcW w:w="4400" w:type="dxa"/>
            <w:noWrap/>
          </w:tcPr>
          <w:p>
            <w:pPr/>
            <w:r>
              <w:rPr>
                <w:color w:val="333333"/>
                <w:sz w:val="20"/>
                <w:szCs w:val="20"/>
              </w:rPr>
              <w:t xml:space="preserve">SSS / PhilHealth / Pag-IBIG deduction lookup by monthly-equivalent salary.</w:t>
            </w:r>
          </w:p>
        </w:tc>
      </w:tr>
    </w:tbl>
    <w:p>
      <w:pPr>
        <w:pStyle w:val="Heading1"/>
      </w:pPr>
      <w:bookmarkStart w:id="2" w:name="_Toc2"/>
      <w:r>
        <w:t>3. How a Payroll Run Is Generated</w:t>
      </w:r>
      <w:bookmarkEnd w:id="2"/>
    </w:p>
    <w:p>
      <w:pPr/>
      <w:r>
        <w:rPr>
          <w:color w:val="333333"/>
          <w:sz w:val="22"/>
          <w:szCs w:val="22"/>
        </w:rPr>
        <w:t xml:space="preserve">Creating a payroll record (Pay Period Type, Period Start, and Period End) triggers an automatic calculation that produces one Payroll Item per matching employee - every employee whose Employee Compensation record's pay period matches the payroll's pay period type. For each employee, the system:</w:t>
      </w:r>
    </w:p>
    <w:p/>
    <w:p>
      <w:pPr>
        <w:spacing w:after="60"/>
        <w:numPr>
          <w:ilvl w:val="0"/>
          <w:numId w:val=""/>
        </w:numPr>
      </w:pPr>
      <w:r>
        <w:rPr>
          <w:color w:val="333333"/>
          <w:sz w:val="22"/>
          <w:szCs w:val="22"/>
        </w:rPr>
        <w:t xml:space="preserve">1. Builds the list of actual working days in the period, excluding that employee's configured day(s) off.</w:t>
      </w:r>
    </w:p>
    <w:p>
      <w:pPr>
        <w:spacing w:after="60"/>
        <w:numPr>
          <w:ilvl w:val="0"/>
          <w:numId w:val=""/>
        </w:numPr>
      </w:pPr>
      <w:r>
        <w:rPr>
          <w:color w:val="333333"/>
          <w:sz w:val="22"/>
          <w:szCs w:val="22"/>
        </w:rPr>
        <w:t xml:space="preserve">2. Pulls attendance rows for the period (excluding days off) and counts Present plus Late as full days, Half Day as 0.5 days.</w:t>
      </w:r>
    </w:p>
    <w:p>
      <w:pPr>
        <w:spacing w:after="60"/>
        <w:numPr>
          <w:ilvl w:val="0"/>
          <w:numId w:val=""/>
        </w:numPr>
      </w:pPr>
      <w:r>
        <w:rPr>
          <w:color w:val="333333"/>
          <w:sz w:val="22"/>
          <w:szCs w:val="22"/>
        </w:rPr>
        <w:t xml:space="preserve">3. Adds approved leave marked as paid within the period as additional worked days.</w:t>
      </w:r>
    </w:p>
    <w:p>
      <w:pPr>
        <w:spacing w:after="60"/>
        <w:numPr>
          <w:ilvl w:val="0"/>
          <w:numId w:val=""/>
        </w:numPr>
      </w:pPr>
      <w:r>
        <w:rPr>
          <w:color w:val="333333"/>
          <w:sz w:val="22"/>
          <w:szCs w:val="22"/>
        </w:rPr>
        <w:t xml:space="preserve">4. Counts Absent-status days on working days as days absent.</w:t>
      </w:r>
    </w:p>
    <w:p>
      <w:pPr>
        <w:spacing w:after="60"/>
        <w:numPr>
          <w:ilvl w:val="0"/>
          <w:numId w:val=""/>
        </w:numPr>
      </w:pPr>
      <w:r>
        <w:rPr>
          <w:color w:val="333333"/>
          <w:sz w:val="22"/>
          <w:szCs w:val="22"/>
        </w:rPr>
        <w:t xml:space="preserve">5. For every Late record, computes minutes late past the 9:00 AM threshold and totals them.</w:t>
      </w:r>
    </w:p>
    <w:p>
      <w:pPr>
        <w:spacing w:after="60"/>
        <w:numPr>
          <w:ilvl w:val="0"/>
          <w:numId w:val=""/>
        </w:numPr>
      </w:pPr>
      <w:r>
        <w:rPr>
          <w:color w:val="333333"/>
          <w:sz w:val="22"/>
          <w:szCs w:val="22"/>
        </w:rPr>
        <w:t xml:space="preserve">6. Calculates Gross Pay as (Daily Rate times Days Worked) plus Allowance.</w:t>
      </w:r>
    </w:p>
    <w:p>
      <w:pPr>
        <w:spacing w:after="60"/>
        <w:numPr>
          <w:ilvl w:val="0"/>
          <w:numId w:val=""/>
        </w:numPr>
      </w:pPr>
      <w:r>
        <w:rPr>
          <w:color w:val="333333"/>
          <w:sz w:val="22"/>
          <w:szCs w:val="22"/>
        </w:rPr>
        <w:t xml:space="preserve">7. Calculates the Late Deduction - either (Daily Rate divided by 480) times total late minutes, or a fixed amount times number of late occurrences, per that employee's configured rule.</w:t>
      </w:r>
    </w:p>
    <w:p>
      <w:pPr>
        <w:spacing w:after="60"/>
        <w:numPr>
          <w:ilvl w:val="0"/>
          <w:numId w:val=""/>
        </w:numPr>
      </w:pPr>
      <w:r>
        <w:rPr>
          <w:color w:val="333333"/>
          <w:sz w:val="22"/>
          <w:szCs w:val="22"/>
        </w:rPr>
        <w:t xml:space="preserve">8. Computes the employee's monthly-equivalent salary (Daily Rate times 26) and looks up SSS, PhilHealth, and Pag-IBIG deductions from the contribution tables - only for the contributions that employee has enabled.</w:t>
      </w:r>
    </w:p>
    <w:p>
      <w:pPr>
        <w:spacing w:after="60"/>
        <w:numPr>
          <w:ilvl w:val="0"/>
          <w:numId w:val=""/>
        </w:numPr>
      </w:pPr>
      <w:r>
        <w:rPr>
          <w:color w:val="333333"/>
          <w:sz w:val="22"/>
          <w:szCs w:val="22"/>
        </w:rPr>
        <w:t xml:space="preserve">9. Halves government deductions for Semi-Monthly payrolls, or quarters them for Weekly payrolls, since each run only covers part of the month.</w:t>
      </w:r>
    </w:p>
    <w:p>
      <w:pPr>
        <w:spacing w:after="60"/>
        <w:numPr>
          <w:ilvl w:val="0"/>
          <w:numId w:val=""/>
        </w:numPr>
      </w:pPr>
      <w:r>
        <w:rPr>
          <w:color w:val="333333"/>
          <w:sz w:val="22"/>
          <w:szCs w:val="22"/>
        </w:rPr>
        <w:t xml:space="preserve">10. Nets it out: Net Pay equals Gross Pay minus (Late plus SSS plus PhilHealth plus Pag-IBIG plus Other Deductions).</w:t>
      </w:r>
    </w:p>
    <w:p/>
    <w:p>
      <w:pPr/>
      <w:r>
        <w:rPr>
          <w:color w:val="333333"/>
          <w:sz w:val="22"/>
          <w:szCs w:val="22"/>
        </w:rPr>
        <w:t xml:space="preserve">Every Payroll Item can still be hand-adjusted while the payroll is in Draft status - overtime hours/pay, bonus, and other deductions are entered manually per employee, since the system has no automatic source for those.</w:t>
      </w:r>
    </w:p>
    <w:p>
      <w:pPr>
        <w:pStyle w:val="Heading1"/>
      </w:pPr>
      <w:bookmarkStart w:id="3" w:name="_Toc3"/>
      <w:r>
        <w:t>4. Payroll Status Workflow</w:t>
      </w:r>
      <w:bookmarkEnd w:id="3"/>
    </w:p>
    <w:tbl>
      <w:tblGrid>
        <w:gridCol w:w="3200" w:type="dxa"/>
        <w:gridCol w:w="3200" w:type="dxa"/>
        <w:gridCol w:w="3200" w:type="dxa"/>
      </w:tblGrid>
      <w:tblPr>
        <w:tblStyle w:val="DefaultTable"/>
      </w:tblPr>
      <w:tr>
        <w:trPr>
          <w:trHeight w:val="400" w:hRule="atLeast"/>
          <w:tblHeader w:val="1"/>
        </w:trPr>
        <w:tc>
          <w:tcPr>
            <w:tcW w:w="3200" w:type="dxa"/>
            <w:shd w:val="clear" w:fill="1E40AF"/>
            <w:noWrap/>
          </w:tcPr>
          <w:p>
            <w:pPr/>
            <w:r>
              <w:rPr>
                <w:color w:val="FFFFFF"/>
                <w:sz w:val="20"/>
                <w:szCs w:val="20"/>
                <w:b w:val="1"/>
                <w:bCs w:val="1"/>
              </w:rPr>
              <w:t xml:space="preserve">Status</w:t>
            </w:r>
          </w:p>
        </w:tc>
        <w:tc>
          <w:tcPr>
            <w:tcW w:w="3200" w:type="dxa"/>
            <w:shd w:val="clear" w:fill="1E40AF"/>
            <w:noWrap/>
          </w:tcPr>
          <w:p>
            <w:pPr/>
            <w:r>
              <w:rPr>
                <w:color w:val="FFFFFF"/>
                <w:sz w:val="20"/>
                <w:szCs w:val="20"/>
                <w:b w:val="1"/>
                <w:bCs w:val="1"/>
              </w:rPr>
              <w:t xml:space="preserve">Meaning</w:t>
            </w:r>
          </w:p>
        </w:tc>
        <w:tc>
          <w:tcPr>
            <w:tcW w:w="3200" w:type="dxa"/>
            <w:shd w:val="clear" w:fill="1E40AF"/>
            <w:noWrap/>
          </w:tcPr>
          <w:p>
            <w:pPr/>
            <w:r>
              <w:rPr>
                <w:color w:val="FFFFFF"/>
                <w:sz w:val="20"/>
                <w:szCs w:val="20"/>
                <w:b w:val="1"/>
                <w:bCs w:val="1"/>
              </w:rPr>
              <w:t xml:space="preserve">What's Allowed</w:t>
            </w:r>
          </w:p>
        </w:tc>
      </w:tr>
      <w:tr>
        <w:trPr/>
        <w:tc>
          <w:tcPr>
            <w:tcW w:w="1800" w:type="dxa"/>
            <w:noWrap/>
          </w:tcPr>
          <w:p>
            <w:pPr/>
            <w:r>
              <w:rPr>
                <w:color w:val="333333"/>
                <w:sz w:val="20"/>
                <w:szCs w:val="20"/>
              </w:rPr>
              <w:t xml:space="preserve">Draft</w:t>
            </w:r>
          </w:p>
        </w:tc>
        <w:tc>
          <w:tcPr>
            <w:tcW w:w="4000" w:type="dxa"/>
            <w:noWrap/>
          </w:tcPr>
          <w:p>
            <w:pPr/>
            <w:r>
              <w:rPr>
                <w:color w:val="333333"/>
                <w:sz w:val="20"/>
                <w:szCs w:val="20"/>
              </w:rPr>
              <w:t xml:space="preserve">Just generated; totals may still be wrong or incomplete.</w:t>
            </w:r>
          </w:p>
        </w:tc>
        <w:tc>
          <w:tcPr>
            <w:tcW w:w="3600" w:type="dxa"/>
            <w:noWrap/>
          </w:tcPr>
          <w:p>
            <w:pPr/>
            <w:r>
              <w:rPr>
                <w:color w:val="333333"/>
                <w:sz w:val="20"/>
                <w:szCs w:val="20"/>
              </w:rPr>
              <w:t xml:space="preserve">Payroll items can be edited (OT, bonus, other deductions); the whole payroll can be edited or deleted.</w:t>
            </w:r>
          </w:p>
        </w:tc>
      </w:tr>
      <w:tr>
        <w:trPr/>
        <w:tc>
          <w:tcPr>
            <w:tcW w:w="1800" w:type="dxa"/>
            <w:noWrap/>
          </w:tcPr>
          <w:p>
            <w:pPr/>
            <w:r>
              <w:rPr>
                <w:color w:val="333333"/>
                <w:sz w:val="20"/>
                <w:szCs w:val="20"/>
              </w:rPr>
              <w:t xml:space="preserve">Approved</w:t>
            </w:r>
          </w:p>
        </w:tc>
        <w:tc>
          <w:tcPr>
            <w:tcW w:w="4000" w:type="dxa"/>
            <w:noWrap/>
          </w:tcPr>
          <w:p>
            <w:pPr/>
            <w:r>
              <w:rPr>
                <w:color w:val="333333"/>
                <w:sz w:val="20"/>
                <w:szCs w:val="20"/>
              </w:rPr>
              <w:t xml:space="preserve">Reviewed and signed off by an authorized user.</w:t>
            </w:r>
          </w:p>
        </w:tc>
        <w:tc>
          <w:tcPr>
            <w:tcW w:w="3600" w:type="dxa"/>
            <w:noWrap/>
          </w:tcPr>
          <w:p>
            <w:pPr/>
            <w:r>
              <w:rPr>
                <w:color w:val="333333"/>
                <w:sz w:val="20"/>
                <w:szCs w:val="20"/>
              </w:rPr>
              <w:t xml:space="preserve">Items are locked from further editing; payroll can be marked Paid or Cancelled.</w:t>
            </w:r>
          </w:p>
        </w:tc>
      </w:tr>
      <w:tr>
        <w:trPr/>
        <w:tc>
          <w:tcPr>
            <w:tcW w:w="1800" w:type="dxa"/>
            <w:noWrap/>
          </w:tcPr>
          <w:p>
            <w:pPr/>
            <w:r>
              <w:rPr>
                <w:color w:val="333333"/>
                <w:sz w:val="20"/>
                <w:szCs w:val="20"/>
              </w:rPr>
              <w:t xml:space="preserve">Paid</w:t>
            </w:r>
          </w:p>
        </w:tc>
        <w:tc>
          <w:tcPr>
            <w:tcW w:w="4000" w:type="dxa"/>
            <w:noWrap/>
          </w:tcPr>
          <w:p>
            <w:pPr/>
            <w:r>
              <w:rPr>
                <w:color w:val="333333"/>
                <w:sz w:val="20"/>
                <w:szCs w:val="20"/>
              </w:rPr>
              <w:t xml:space="preserve">Disbursed to employees.</w:t>
            </w:r>
          </w:p>
        </w:tc>
        <w:tc>
          <w:tcPr>
            <w:tcW w:w="3600" w:type="dxa"/>
            <w:noWrap/>
          </w:tcPr>
          <w:p>
            <w:pPr/>
            <w:r>
              <w:rPr>
                <w:color w:val="333333"/>
                <w:sz w:val="20"/>
                <w:szCs w:val="20"/>
              </w:rPr>
              <w:t xml:space="preserve">Final state for a completed cycle; kept as a permanent record.</w:t>
            </w:r>
          </w:p>
        </w:tc>
      </w:tr>
      <w:tr>
        <w:trPr/>
        <w:tc>
          <w:tcPr>
            <w:tcW w:w="1800" w:type="dxa"/>
            <w:noWrap/>
          </w:tcPr>
          <w:p>
            <w:pPr/>
            <w:r>
              <w:rPr>
                <w:color w:val="333333"/>
                <w:sz w:val="20"/>
                <w:szCs w:val="20"/>
              </w:rPr>
              <w:t xml:space="preserve">Cancelled</w:t>
            </w:r>
          </w:p>
        </w:tc>
        <w:tc>
          <w:tcPr>
            <w:tcW w:w="4000" w:type="dxa"/>
            <w:noWrap/>
          </w:tcPr>
          <w:p>
            <w:pPr/>
            <w:r>
              <w:rPr>
                <w:color w:val="333333"/>
                <w:sz w:val="20"/>
                <w:szCs w:val="20"/>
              </w:rPr>
              <w:t xml:space="preserve">Voided before payment, for example due to an error.</w:t>
            </w:r>
          </w:p>
        </w:tc>
        <w:tc>
          <w:tcPr>
            <w:tcW w:w="3600" w:type="dxa"/>
            <w:noWrap/>
          </w:tcPr>
          <w:p>
            <w:pPr/>
            <w:r>
              <w:rPr>
                <w:color w:val="333333"/>
                <w:sz w:val="20"/>
                <w:szCs w:val="20"/>
              </w:rPr>
              <w:t xml:space="preserve">No further action; retained for audit history.</w:t>
            </w:r>
          </w:p>
        </w:tc>
      </w:tr>
    </w:tbl>
    <w:p/>
    <w:p>
      <w:pPr/>
      <w:r>
        <w:rPr>
          <w:color w:val="333333"/>
          <w:sz w:val="22"/>
          <w:szCs w:val="22"/>
        </w:rPr>
        <w:t xml:space="preserve">Every approval, payment, and cancellation is written to the system-wide audit log (who, when, and the before/after status), so a payroll's history can always be traced back.</w:t>
      </w:r>
    </w:p>
    <w:p>
      <w:pPr>
        <w:pStyle w:val="Heading1"/>
      </w:pPr>
      <w:bookmarkStart w:id="4" w:name="_Toc4"/>
      <w:r>
        <w:t>5. Where to Find It in the System</w:t>
      </w:r>
      <w:bookmarkEnd w:id="4"/>
    </w:p>
    <w:p>
      <w:pPr>
        <w:spacing w:after="60"/>
        <w:numPr>
          <w:ilvl w:val="0"/>
          <w:numId w:val=""/>
        </w:numPr>
      </w:pPr>
      <w:r>
        <w:rPr>
          <w:color w:val="333333"/>
          <w:sz w:val="22"/>
          <w:szCs w:val="22"/>
        </w:rPr>
        <w:t xml:space="preserve">Attendance Management &gt; Employees - add/manage employee master records.</w:t>
      </w:r>
    </w:p>
    <w:p>
      <w:pPr>
        <w:spacing w:after="60"/>
        <w:numPr>
          <w:ilvl w:val="0"/>
          <w:numId w:val=""/>
        </w:numPr>
      </w:pPr>
      <w:r>
        <w:rPr>
          <w:color w:val="333333"/>
          <w:sz w:val="22"/>
          <w:szCs w:val="22"/>
        </w:rPr>
        <w:t xml:space="preserve">Payroll &gt; Employee Compensation - set each employee's salary rate and payroll rules.</w:t>
      </w:r>
    </w:p>
    <w:p>
      <w:pPr>
        <w:spacing w:after="60"/>
        <w:numPr>
          <w:ilvl w:val="0"/>
          <w:numId w:val=""/>
        </w:numPr>
      </w:pPr>
      <w:r>
        <w:rPr>
          <w:color w:val="333333"/>
          <w:sz w:val="22"/>
          <w:szCs w:val="22"/>
        </w:rPr>
        <w:t xml:space="preserve">Payroll &gt; Payrolls - generate, view, approve, and pay payroll runs.</w:t>
      </w:r>
    </w:p>
    <w:p>
      <w:pPr>
        <w:spacing w:after="60"/>
        <w:numPr>
          <w:ilvl w:val="0"/>
          <w:numId w:val=""/>
        </w:numPr>
      </w:pPr>
      <w:r>
        <w:rPr>
          <w:color w:val="333333"/>
          <w:sz w:val="22"/>
          <w:szCs w:val="22"/>
        </w:rPr>
        <w:t xml:space="preserve">View Payroll page - the Export to PDF button produces an official, printable payroll statement per run.</w:t>
      </w:r>
    </w:p>
    <w:p>
      <w:pPr>
        <w:pStyle w:val="Heading1"/>
      </w:pPr>
      <w:bookmarkStart w:id="5" w:name="_Toc5"/>
      <w:r>
        <w:t>6. PDF Payroll Statement</w:t>
      </w:r>
      <w:bookmarkEnd w:id="5"/>
    </w:p>
    <w:p>
      <w:pPr/>
      <w:r>
        <w:rPr>
          <w:color w:val="333333"/>
          <w:sz w:val="22"/>
          <w:szCs w:val="22"/>
        </w:rPr>
        <w:t xml:space="preserve">Any payroll run - regardless of status - can be exported as a landscape PDF from its View page. The export carries the Tri-E Enterprises logo and name, the payroll number, pay period, and status, a summary of total gross, deductions, and net, a full itemized breakdown per employee, and any notes attached to the run. It is meant to serve as the physical or digital record handed to accounting or kept on file after a payroll is finalized.</w:t>
      </w:r>
    </w:p>
    <w:sectPr>
      <w:pgSz w:orient="portrait" w:w="11905.511811023622" w:h="16837.79527559055"/>
      <w:pgMar w:top="1000" w:right="1200" w:bottom="1000" w:left="12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Arial" w:cs="Calibri"/>
        <w:color w:val="000000"/>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spacing w:before="240" w:after="240"/>
    </w:pPr>
    <w:rPr>
      <w:color w:val="1E40AF"/>
      <w:sz w:val="44"/>
      <w:szCs w:val="44"/>
      <w:b w:val="1"/>
      <w:bCs w:val="1"/>
    </w:rPr>
  </w:style>
  <w:style w:type="paragraph" w:styleId="Heading2">
    <w:link w:val="Heading2Char"/>
    <w:name w:val="heading 2"/>
    <w:basedOn w:val="Normal"/>
    <w:pPr>
      <w:spacing w:before="320" w:after="160"/>
    </w:pPr>
    <w:rPr>
      <w:color w:val="1E40AF"/>
      <w:sz w:val="30"/>
      <w:szCs w:val="30"/>
      <w:b w:val="1"/>
      <w:bCs w:val="1"/>
    </w:rPr>
  </w:style>
  <w:style w:type="paragraph" w:styleId="Heading3">
    <w:link w:val="Heading3Char"/>
    <w:name w:val="heading 3"/>
    <w:basedOn w:val="Normal"/>
    <w:pPr>
      <w:spacing w:before="200" w:after="100"/>
    </w:pPr>
    <w:rPr>
      <w:color w:val="374151"/>
      <w:sz w:val="24"/>
      <w:szCs w:val="24"/>
      <w:b w:val="1"/>
      <w:bCs w:val="1"/>
    </w:rPr>
  </w:style>
  <w:style w:type="table" w:customStyle="1" w:styleId="DefaultTable">
    <w:name w:val="DefaultTable"/>
    <w:uiPriority w:val="99"/>
    <w:tblPr>
      <w:tblW w:w="0" w:type="auto"/>
      <w:tblLayout w:type="autofit"/>
      <w:tblCellMar>
        <w:top w:w="80" w:type="dxa"/>
        <w:left w:w="80" w:type="dxa"/>
        <w:right w:w="80" w:type="dxa"/>
        <w:bottom w:w="80" w:type="dxa"/>
      </w:tblCellMar>
      <w:tblBorders>
        <w:top w:val="single" w:sz="6" w:color="CCCCCC"/>
        <w:left w:val="single" w:sz="6" w:color="CCCCCC"/>
        <w:right w:val="single" w:sz="6" w:color="CCCCCC"/>
        <w:bottom w:val="single" w:sz="6" w:color="CCCCCC"/>
        <w:insideH w:val="single" w:sz="6" w:color="CCCCCC"/>
        <w:insideV w:val="single" w:sz="6" w:color="CCCCCC"/>
      </w:tblBorders>
    </w:tblPr>
    <w:tblStylePr w:type="firstRow">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2026-08-20T09:06:20+02:00</dcterms:created>
  <dcterms:modified xsi:type="dcterms:W3CDTF">2026-08-20T09:06:20+02:00</dcterms:modified>
</cp:coreProperties>
</file>

<file path=docProps/custom.xml><?xml version="1.0" encoding="utf-8"?>
<Properties xmlns="http://schemas.openxmlformats.org/officeDocument/2006/custom-properties" xmlns:vt="http://schemas.openxmlformats.org/officeDocument/2006/docPropsVTypes"/>
</file>