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caps/>
          <w:color w:val="64748B"/>
          <w:sz w:val="18"/>
        </w:rPr>
        <w:t>Tri-E Enterprises OPC  ·  TOS – Point of Sale System</w:t>
      </w:r>
    </w:p>
    <w:p>
      <w:pPr>
        <w:spacing w:after="40"/>
      </w:pPr>
      <w:r>
        <w:rPr>
          <w:b/>
          <w:color w:val="1E40AF"/>
          <w:sz w:val="44"/>
        </w:rPr>
        <w:t>Charge Transaction</w:t>
      </w:r>
    </w:p>
    <w:p>
      <w:pPr>
        <w:spacing w:after="80"/>
      </w:pPr>
      <w:r>
        <w:rPr>
          <w:color w:val="64748B"/>
          <w:sz w:val="20"/>
        </w:rPr>
        <w:t>User Guide  ·  POS Module</w:t>
      </w:r>
    </w:p>
    <w:p>
      <w:pPr>
        <w:spacing w:after="280"/>
        <w:pBdr>
          <w:bottom w:val="single" w:sz="12" w:space="1" w:color="1e40af"/>
        </w:pBdr>
      </w:pPr>
    </w:p>
    <w:p>
      <w:pPr>
        <w:spacing w:before="320" w:after="160"/>
        <w:shd w:val="clear" w:color="auto" w:fill="EFF6FF"/>
        <w:pBdr>
          <w:left w:val="single" w:sz="18" w:space="4" w:color="1E40AF"/>
        </w:pBdr>
      </w:pPr>
      <w:r>
        <w:rPr>
          <w:b/>
          <w:caps/>
          <w:color w:val="1E40AF"/>
          <w:sz w:val="22"/>
        </w:rPr>
        <w:t>Overview</w:t>
      </w:r>
    </w:p>
    <w:p>
      <w:pPr>
        <w:spacing w:after="120"/>
      </w:pPr>
      <w:r>
        <w:rPr>
          <w:color w:val="1E293B"/>
          <w:sz w:val="22"/>
        </w:rPr>
        <w:t>A Charge transaction is a credit sale where the customer takes the goods now and pays at a later date based on an agreed payment term. No cash is collected at the time of the transaction.</w:t>
      </w:r>
    </w:p>
    <w:p>
      <w:pPr>
        <w:spacing w:before="120" w:after="160"/>
        <w:ind w:left="288"/>
      </w:pPr>
      <w:r>
        <w:rPr>
          <w:b/>
          <w:color w:val="1E40AF"/>
          <w:sz w:val="21"/>
        </w:rPr>
        <w:t xml:space="preserve">Important: </w:t>
      </w:r>
      <w:r>
        <w:rPr>
          <w:color w:val="1E40AF"/>
          <w:sz w:val="21"/>
        </w:rPr>
        <w:t>Charge transactions are recorded in the system but will NOT appear in any daily, register, or period report until the customer's payment has been collected and the record is updated to Paid.</w:t>
      </w:r>
    </w:p>
    <w:p>
      <w:pPr>
        <w:spacing w:before="320" w:after="160"/>
        <w:shd w:val="clear" w:color="auto" w:fill="EFF6FF"/>
        <w:pBdr>
          <w:left w:val="single" w:sz="18" w:space="4" w:color="1E40AF"/>
        </w:pBdr>
      </w:pPr>
      <w:r>
        <w:rPr>
          <w:b/>
          <w:caps/>
          <w:color w:val="1E40AF"/>
          <w:sz w:val="22"/>
        </w:rPr>
        <w:t>How to Add a Charge Transaction</w:t>
      </w:r>
    </w:p>
    <w:p>
      <w:pPr>
        <w:spacing w:before="80" w:after="40"/>
      </w:pPr>
      <w:r>
        <w:rPr>
          <w:b/>
          <w:color w:val="1E40AF"/>
          <w:sz w:val="22"/>
        </w:rPr>
        <w:t xml:space="preserve">  1. </w:t>
      </w:r>
      <w:r>
        <w:rPr>
          <w:b/>
          <w:color w:val="1E293B"/>
          <w:sz w:val="22"/>
        </w:rPr>
        <w:t>Add Items to the Cart</w:t>
      </w:r>
    </w:p>
    <w:p>
      <w:pPr>
        <w:spacing w:after="160"/>
        <w:ind w:left="648"/>
      </w:pPr>
      <w:r>
        <w:rPr>
          <w:color w:val="1E293B"/>
          <w:sz w:val="21"/>
        </w:rPr>
        <w:t>Select the products the customer is taking. Adjust quantities as needed. Inventory will be deducted immediately when the sale is confirmed.</w:t>
      </w:r>
    </w:p>
    <w:p>
      <w:pPr>
        <w:spacing w:before="80" w:after="40"/>
      </w:pPr>
      <w:r>
        <w:rPr>
          <w:b/>
          <w:color w:val="1E40AF"/>
          <w:sz w:val="22"/>
        </w:rPr>
        <w:t xml:space="preserve">  2. </w:t>
      </w:r>
      <w:r>
        <w:rPr>
          <w:b/>
          <w:color w:val="1E293B"/>
          <w:sz w:val="22"/>
        </w:rPr>
        <w:t>Select the Customer</w:t>
      </w:r>
    </w:p>
    <w:p>
      <w:pPr>
        <w:spacing w:after="160"/>
        <w:ind w:left="648"/>
      </w:pPr>
      <w:r>
        <w:rPr>
          <w:color w:val="1E293B"/>
          <w:sz w:val="21"/>
        </w:rPr>
        <w:t>Charge transactions must always be linked to a named customer. Use the customer selector at the top of the cart panel. If the customer does not exist yet, click + Add Customer to create one on the spot.</w:t>
      </w:r>
    </w:p>
    <w:p>
      <w:pPr>
        <w:spacing w:before="80" w:after="40"/>
      </w:pPr>
      <w:r>
        <w:rPr>
          <w:b/>
          <w:color w:val="1E40AF"/>
          <w:sz w:val="22"/>
        </w:rPr>
        <w:t xml:space="preserve">  3. </w:t>
      </w:r>
      <w:r>
        <w:rPr>
          <w:b/>
          <w:color w:val="1E293B"/>
          <w:sz w:val="22"/>
        </w:rPr>
        <w:t>Click “Charge / Pay”</w:t>
      </w:r>
    </w:p>
    <w:p>
      <w:pPr>
        <w:spacing w:after="160"/>
        <w:ind w:left="648"/>
      </w:pPr>
      <w:r>
        <w:rPr>
          <w:color w:val="1E293B"/>
          <w:sz w:val="21"/>
        </w:rPr>
        <w:t>Click the Charge / Pay button at the bottom of the cart panel to open the payment modal.</w:t>
      </w:r>
    </w:p>
    <w:p>
      <w:pPr>
        <w:spacing w:before="80" w:after="40"/>
      </w:pPr>
      <w:r>
        <w:rPr>
          <w:b/>
          <w:color w:val="1E40AF"/>
          <w:sz w:val="22"/>
        </w:rPr>
        <w:t xml:space="preserve">  4. </w:t>
      </w:r>
      <w:r>
        <w:rPr>
          <w:b/>
          <w:color w:val="1E293B"/>
          <w:sz w:val="22"/>
        </w:rPr>
        <w:t>Select “Charge” as the Payment Method</w:t>
      </w:r>
    </w:p>
    <w:p>
      <w:pPr>
        <w:spacing w:after="160"/>
        <w:ind w:left="648"/>
      </w:pPr>
      <w:r>
        <w:rPr>
          <w:color w:val="1E293B"/>
          <w:sz w:val="21"/>
        </w:rPr>
        <w:t>In the Payment Method dropdown, choose Charge. The Payment Terms selector will appear automatically below the dropdown.</w:t>
      </w:r>
    </w:p>
    <w:p>
      <w:pPr>
        <w:spacing w:before="80" w:after="40"/>
      </w:pPr>
      <w:r>
        <w:rPr>
          <w:b/>
          <w:color w:val="1E40AF"/>
          <w:sz w:val="22"/>
        </w:rPr>
        <w:t xml:space="preserve">  5. </w:t>
      </w:r>
      <w:r>
        <w:rPr>
          <w:b/>
          <w:color w:val="1E293B"/>
          <w:sz w:val="22"/>
        </w:rPr>
        <w:t>Select the Payment Term</w:t>
      </w:r>
    </w:p>
    <w:p>
      <w:pPr>
        <w:spacing w:after="160"/>
        <w:ind w:left="648"/>
      </w:pPr>
      <w:r>
        <w:rPr>
          <w:color w:val="1E293B"/>
          <w:sz w:val="21"/>
        </w:rPr>
        <w:t>Choose the number of days the customer has to settle the balance. The due date is calculated and displayed automatically.</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E40AF"/>
          </w:tcPr>
          <w:p>
            <w:r>
              <w:rPr>
                <w:b/>
                <w:color w:val="FFFFFF"/>
                <w:sz w:val="20"/>
              </w:rPr>
              <w:t>Term</w:t>
            </w:r>
          </w:p>
        </w:tc>
        <w:tc>
          <w:tcPr>
            <w:tcW w:type="dxa" w:w="3120"/>
            <w:shd w:val="clear" w:color="auto" w:fill="1E40AF"/>
          </w:tcPr>
          <w:p>
            <w:r>
              <w:rPr>
                <w:b/>
                <w:color w:val="FFFFFF"/>
                <w:sz w:val="20"/>
              </w:rPr>
              <w:t>Due Date</w:t>
            </w:r>
          </w:p>
        </w:tc>
        <w:tc>
          <w:tcPr>
            <w:tcW w:type="dxa" w:w="3120"/>
            <w:shd w:val="clear" w:color="auto" w:fill="1E40AF"/>
          </w:tcPr>
          <w:p>
            <w:r>
              <w:rPr>
                <w:b/>
                <w:color w:val="FFFFFF"/>
                <w:sz w:val="20"/>
              </w:rPr>
              <w:t>Typical Use</w:t>
            </w:r>
          </w:p>
        </w:tc>
      </w:tr>
      <w:tr>
        <w:tc>
          <w:tcPr>
            <w:tcW w:type="dxa" w:w="3120"/>
            <w:shd w:val="clear" w:color="auto" w:fill="FFFFFF"/>
          </w:tcPr>
          <w:p>
            <w:r>
              <w:rPr>
                <w:sz w:val="20"/>
              </w:rPr>
              <w:t>5 Days</w:t>
            </w:r>
          </w:p>
        </w:tc>
        <w:tc>
          <w:tcPr>
            <w:tcW w:type="dxa" w:w="3120"/>
            <w:shd w:val="clear" w:color="auto" w:fill="FFFFFF"/>
          </w:tcPr>
          <w:p>
            <w:r>
              <w:rPr>
                <w:sz w:val="20"/>
              </w:rPr>
              <w:t>Today + 5 days</w:t>
            </w:r>
          </w:p>
        </w:tc>
        <w:tc>
          <w:tcPr>
            <w:tcW w:type="dxa" w:w="3120"/>
            <w:shd w:val="clear" w:color="auto" w:fill="FFFFFF"/>
          </w:tcPr>
          <w:p>
            <w:r>
              <w:rPr>
                <w:sz w:val="20"/>
              </w:rPr>
              <w:t>Short-term / regular customers</w:t>
            </w:r>
          </w:p>
        </w:tc>
      </w:tr>
      <w:tr>
        <w:tc>
          <w:tcPr>
            <w:tcW w:type="dxa" w:w="3120"/>
            <w:shd w:val="clear" w:color="auto" w:fill="F8FAFC"/>
          </w:tcPr>
          <w:p>
            <w:r>
              <w:rPr>
                <w:sz w:val="20"/>
              </w:rPr>
              <w:t>10 Days</w:t>
            </w:r>
          </w:p>
        </w:tc>
        <w:tc>
          <w:tcPr>
            <w:tcW w:type="dxa" w:w="3120"/>
            <w:shd w:val="clear" w:color="auto" w:fill="F8FAFC"/>
          </w:tcPr>
          <w:p>
            <w:r>
              <w:rPr>
                <w:sz w:val="20"/>
              </w:rPr>
              <w:t>Today + 10 days</w:t>
            </w:r>
          </w:p>
        </w:tc>
        <w:tc>
          <w:tcPr>
            <w:tcW w:type="dxa" w:w="3120"/>
            <w:shd w:val="clear" w:color="auto" w:fill="F8FAFC"/>
          </w:tcPr>
          <w:p>
            <w:r>
              <w:rPr>
                <w:sz w:val="20"/>
              </w:rPr>
              <w:t>Short-term credit</w:t>
            </w:r>
          </w:p>
        </w:tc>
      </w:tr>
      <w:tr>
        <w:tc>
          <w:tcPr>
            <w:tcW w:type="dxa" w:w="3120"/>
            <w:shd w:val="clear" w:color="auto" w:fill="FFFFFF"/>
          </w:tcPr>
          <w:p>
            <w:r>
              <w:rPr>
                <w:sz w:val="20"/>
              </w:rPr>
              <w:t>15 Days</w:t>
            </w:r>
          </w:p>
        </w:tc>
        <w:tc>
          <w:tcPr>
            <w:tcW w:type="dxa" w:w="3120"/>
            <w:shd w:val="clear" w:color="auto" w:fill="FFFFFF"/>
          </w:tcPr>
          <w:p>
            <w:r>
              <w:rPr>
                <w:sz w:val="20"/>
              </w:rPr>
              <w:t>Today + 15 days</w:t>
            </w:r>
          </w:p>
        </w:tc>
        <w:tc>
          <w:tcPr>
            <w:tcW w:type="dxa" w:w="3120"/>
            <w:shd w:val="clear" w:color="auto" w:fill="FFFFFF"/>
          </w:tcPr>
          <w:p>
            <w:r>
              <w:rPr>
                <w:sz w:val="20"/>
              </w:rPr>
              <w:t>Semi-monthly terms</w:t>
            </w:r>
          </w:p>
        </w:tc>
      </w:tr>
      <w:tr>
        <w:tc>
          <w:tcPr>
            <w:tcW w:type="dxa" w:w="3120"/>
            <w:shd w:val="clear" w:color="auto" w:fill="F8FAFC"/>
          </w:tcPr>
          <w:p>
            <w:r>
              <w:rPr>
                <w:sz w:val="20"/>
              </w:rPr>
              <w:t>30 Days</w:t>
            </w:r>
          </w:p>
        </w:tc>
        <w:tc>
          <w:tcPr>
            <w:tcW w:type="dxa" w:w="3120"/>
            <w:shd w:val="clear" w:color="auto" w:fill="F8FAFC"/>
          </w:tcPr>
          <w:p>
            <w:r>
              <w:rPr>
                <w:sz w:val="20"/>
              </w:rPr>
              <w:t>Today + 30 days</w:t>
            </w:r>
          </w:p>
        </w:tc>
        <w:tc>
          <w:tcPr>
            <w:tcW w:type="dxa" w:w="3120"/>
            <w:shd w:val="clear" w:color="auto" w:fill="F8FAFC"/>
          </w:tcPr>
          <w:p>
            <w:r>
              <w:rPr>
                <w:sz w:val="20"/>
              </w:rPr>
              <w:t>Standard monthly credit</w:t>
            </w:r>
          </w:p>
        </w:tc>
      </w:tr>
      <w:tr>
        <w:tc>
          <w:tcPr>
            <w:tcW w:type="dxa" w:w="3120"/>
            <w:shd w:val="clear" w:color="auto" w:fill="FFFFFF"/>
          </w:tcPr>
          <w:p>
            <w:r>
              <w:rPr>
                <w:sz w:val="20"/>
              </w:rPr>
              <w:t>60 Days</w:t>
            </w:r>
          </w:p>
        </w:tc>
        <w:tc>
          <w:tcPr>
            <w:tcW w:type="dxa" w:w="3120"/>
            <w:shd w:val="clear" w:color="auto" w:fill="FFFFFF"/>
          </w:tcPr>
          <w:p>
            <w:r>
              <w:rPr>
                <w:sz w:val="20"/>
              </w:rPr>
              <w:t>Today + 60 days</w:t>
            </w:r>
          </w:p>
        </w:tc>
        <w:tc>
          <w:tcPr>
            <w:tcW w:type="dxa" w:w="3120"/>
            <w:shd w:val="clear" w:color="auto" w:fill="FFFFFF"/>
          </w:tcPr>
          <w:p>
            <w:r>
              <w:rPr>
                <w:sz w:val="20"/>
              </w:rPr>
              <w:t>Extended credit accounts</w:t>
            </w:r>
          </w:p>
        </w:tc>
      </w:tr>
    </w:tbl>
    <w:p/>
    <w:p>
      <w:pPr>
        <w:spacing w:before="80" w:after="40"/>
      </w:pPr>
      <w:r>
        <w:rPr>
          <w:b/>
          <w:color w:val="1E40AF"/>
          <w:sz w:val="22"/>
        </w:rPr>
        <w:t xml:space="preserve">  6. </w:t>
      </w:r>
      <w:r>
        <w:rPr>
          <w:b/>
          <w:color w:val="1E293B"/>
          <w:sz w:val="22"/>
        </w:rPr>
        <w:t>Confirm the Transaction</w:t>
      </w:r>
    </w:p>
    <w:p>
      <w:pPr>
        <w:spacing w:after="160"/>
        <w:ind w:left="648"/>
      </w:pPr>
      <w:r>
        <w:rPr>
          <w:color w:val="1E293B"/>
          <w:sz w:val="21"/>
        </w:rPr>
        <w:t>Click Confirm Payment. The sale is saved and inventory is reduced. The transaction is tagged as Unpaid with ₱0.00 amount paid.</w:t>
      </w:r>
    </w:p>
    <w:p>
      <w:pPr>
        <w:spacing w:before="320" w:after="160"/>
        <w:shd w:val="clear" w:color="auto" w:fill="EFF6FF"/>
        <w:pBdr>
          <w:left w:val="single" w:sz="18" w:space="4" w:color="1E40AF"/>
        </w:pBdr>
      </w:pPr>
      <w:r>
        <w:rPr>
          <w:b/>
          <w:caps/>
          <w:color w:val="1E40AF"/>
          <w:sz w:val="22"/>
        </w:rPr>
        <w:t>What Happens After Confirming</w:t>
      </w:r>
    </w:p>
    <w:p>
      <w:pPr>
        <w:pStyle w:val="ListBullet"/>
        <w:spacing w:after="80"/>
      </w:pPr>
      <w:r>
        <w:rPr>
          <w:b/>
          <w:sz w:val="22"/>
        </w:rPr>
        <w:t>Payment Status:</w:t>
      </w:r>
      <w:r>
        <w:rPr>
          <w:sz w:val="22"/>
        </w:rPr>
        <w:t xml:space="preserve"> set to Unpaid with amount_paid = ₱0.00.</w:t>
      </w:r>
    </w:p>
    <w:p>
      <w:pPr>
        <w:pStyle w:val="ListBullet"/>
        <w:spacing w:after="80"/>
      </w:pPr>
      <w:r>
        <w:rPr>
          <w:b/>
          <w:sz w:val="22"/>
        </w:rPr>
        <w:t>Due date:</w:t>
      </w:r>
      <w:r>
        <w:rPr>
          <w:sz w:val="22"/>
        </w:rPr>
        <w:t xml:space="preserve"> calculated from today plus the selected term.</w:t>
      </w:r>
    </w:p>
    <w:p>
      <w:pPr>
        <w:pStyle w:val="ListBullet"/>
        <w:spacing w:after="80"/>
      </w:pPr>
      <w:r>
        <w:rPr>
          <w:b/>
          <w:sz w:val="22"/>
        </w:rPr>
        <w:t>Inventory:</w:t>
      </w:r>
      <w:r>
        <w:rPr>
          <w:sz w:val="22"/>
        </w:rPr>
        <w:t xml:space="preserve"> deducted immediately at the time of the transaction.</w:t>
      </w:r>
    </w:p>
    <w:p>
      <w:pPr>
        <w:pStyle w:val="ListBullet"/>
        <w:spacing w:after="80"/>
      </w:pPr>
      <w:r>
        <w:rPr>
          <w:b/>
          <w:sz w:val="22"/>
        </w:rPr>
        <w:t>Register totals:</w:t>
      </w:r>
      <w:r>
        <w:rPr>
          <w:sz w:val="22"/>
        </w:rPr>
        <w:t xml:space="preserve"> not affected — no cash changes hands.</w:t>
      </w:r>
    </w:p>
    <w:p>
      <w:pPr>
        <w:pStyle w:val="ListBullet"/>
        <w:spacing w:after="80"/>
      </w:pPr>
      <w:r>
        <w:rPr>
          <w:b/>
          <w:sz w:val="22"/>
        </w:rPr>
        <w:t>Reports:</w:t>
      </w:r>
      <w:r>
        <w:rPr>
          <w:sz w:val="22"/>
        </w:rPr>
        <w:t xml:space="preserve"> the transaction is hidden from all reports until marked as Paid.</w:t>
      </w:r>
    </w:p>
    <w:p>
      <w:pPr>
        <w:pStyle w:val="ListBullet"/>
        <w:spacing w:after="80"/>
      </w:pPr>
      <w:r>
        <w:rPr>
          <w:b/>
          <w:sz w:val="22"/>
        </w:rPr>
        <w:t>Admin visibility:</w:t>
      </w:r>
      <w:r>
        <w:rPr>
          <w:sz w:val="22"/>
        </w:rPr>
        <w:t xml:space="preserve"> the sale is visible in Admin Panel → Sales, filterable by payment status.</w:t>
      </w:r>
    </w:p>
    <w:p>
      <w:pPr>
        <w:spacing w:before="320" w:after="160"/>
        <w:shd w:val="clear" w:color="auto" w:fill="EFF6FF"/>
        <w:pBdr>
          <w:left w:val="single" w:sz="18" w:space="4" w:color="1E40AF"/>
        </w:pBdr>
      </w:pPr>
      <w:r>
        <w:rPr>
          <w:b/>
          <w:caps/>
          <w:color w:val="1E40AF"/>
          <w:sz w:val="22"/>
        </w:rPr>
        <w:t>How to Collect Payment &amp; Close the Charge</w:t>
      </w:r>
    </w:p>
    <w:p>
      <w:pPr>
        <w:spacing w:after="120"/>
      </w:pPr>
      <w:r>
        <w:rPr>
          <w:color w:val="1E293B"/>
          <w:sz w:val="22"/>
        </w:rPr>
        <w:t>Once the customer settles their balance, update the transaction in the admin panel:</w:t>
      </w:r>
    </w:p>
    <w:p>
      <w:pPr>
        <w:spacing w:before="80" w:after="40"/>
      </w:pPr>
      <w:r>
        <w:rPr>
          <w:b/>
          <w:color w:val="1E40AF"/>
          <w:sz w:val="22"/>
        </w:rPr>
        <w:t xml:space="preserve">  1. </w:t>
      </w:r>
      <w:r>
        <w:rPr>
          <w:b/>
          <w:color w:val="1E293B"/>
          <w:sz w:val="22"/>
        </w:rPr>
        <w:t>Go to Admin Panel → Sales</w:t>
      </w:r>
    </w:p>
    <w:p>
      <w:pPr>
        <w:spacing w:after="160"/>
        <w:ind w:left="648"/>
      </w:pPr>
      <w:r>
        <w:rPr>
          <w:color w:val="1E293B"/>
          <w:sz w:val="21"/>
        </w:rPr>
        <w:t>Navigate to the Sales section in the admin panel.</w:t>
      </w:r>
    </w:p>
    <w:p>
      <w:pPr>
        <w:spacing w:before="80" w:after="40"/>
      </w:pPr>
      <w:r>
        <w:rPr>
          <w:b/>
          <w:color w:val="1E40AF"/>
          <w:sz w:val="22"/>
        </w:rPr>
        <w:t xml:space="preserve">  2. </w:t>
      </w:r>
      <w:r>
        <w:rPr>
          <w:b/>
          <w:color w:val="1E293B"/>
          <w:sz w:val="22"/>
        </w:rPr>
        <w:t>Find the Charge Transaction</w:t>
      </w:r>
    </w:p>
    <w:p>
      <w:pPr>
        <w:spacing w:after="160"/>
        <w:ind w:left="648"/>
      </w:pPr>
      <w:r>
        <w:rPr>
          <w:color w:val="1E293B"/>
          <w:sz w:val="21"/>
        </w:rPr>
        <w:t>Filter by Payment Method: Charge or Payment Status: Unpaid to locate the record.</w:t>
      </w:r>
    </w:p>
    <w:p>
      <w:pPr>
        <w:spacing w:before="80" w:after="40"/>
      </w:pPr>
      <w:r>
        <w:rPr>
          <w:b/>
          <w:color w:val="1E40AF"/>
          <w:sz w:val="22"/>
        </w:rPr>
        <w:t xml:space="preserve">  3. </w:t>
      </w:r>
      <w:r>
        <w:rPr>
          <w:b/>
          <w:color w:val="1E293B"/>
          <w:sz w:val="22"/>
        </w:rPr>
        <w:t>Update the Record</w:t>
      </w:r>
    </w:p>
    <w:p>
      <w:pPr>
        <w:spacing w:after="160"/>
        <w:ind w:left="648"/>
      </w:pPr>
      <w:r>
        <w:rPr>
          <w:color w:val="1E293B"/>
          <w:sz w:val="21"/>
        </w:rPr>
        <w:t>Open the sale and set:</w:t>
        <w:br/>
        <w:t xml:space="preserve">   •  Payment Status  →  Paid</w:t>
        <w:br/>
        <w:t xml:space="preserve">   •  Amount Paid     →  the amount collected</w:t>
        <w:br/>
        <w:t xml:space="preserve">   •  Paid Date       →  the date payment was received</w:t>
      </w:r>
    </w:p>
    <w:p>
      <w:pPr>
        <w:spacing w:before="80" w:after="40"/>
      </w:pPr>
      <w:r>
        <w:rPr>
          <w:b/>
          <w:color w:val="1E40AF"/>
          <w:sz w:val="22"/>
        </w:rPr>
        <w:t xml:space="preserve">  4. </w:t>
      </w:r>
      <w:r>
        <w:rPr>
          <w:b/>
          <w:color w:val="1E293B"/>
          <w:sz w:val="22"/>
        </w:rPr>
        <w:t>Save</w:t>
      </w:r>
    </w:p>
    <w:p>
      <w:pPr>
        <w:spacing w:after="160"/>
        <w:ind w:left="648"/>
      </w:pPr>
      <w:r>
        <w:rPr>
          <w:color w:val="1E293B"/>
          <w:sz w:val="21"/>
        </w:rPr>
        <w:t>Once saved, the transaction will automatically be included in all reports going forward.</w:t>
      </w:r>
    </w:p>
    <w:p>
      <w:pPr>
        <w:spacing w:before="120" w:after="160"/>
        <w:ind w:left="288"/>
      </w:pPr>
      <w:r>
        <w:rPr>
          <w:b/>
          <w:color w:val="15803D"/>
          <w:sz w:val="21"/>
        </w:rPr>
        <w:t xml:space="preserve">After marking as Paid: </w:t>
      </w:r>
      <w:r>
        <w:rPr>
          <w:color w:val="15803D"/>
          <w:sz w:val="21"/>
        </w:rPr>
        <w:t>The transaction will appear in the Daily Transaction Report, Register Closure Report, and Period Report under the session it was originally recorded in.</w:t>
      </w:r>
    </w:p>
    <w:p>
      <w:pPr>
        <w:spacing w:before="320" w:after="160"/>
        <w:shd w:val="clear" w:color="auto" w:fill="EFF6FF"/>
        <w:pBdr>
          <w:left w:val="single" w:sz="18" w:space="4" w:color="1E40AF"/>
        </w:pBdr>
      </w:pPr>
      <w:r>
        <w:rPr>
          <w:b/>
          <w:caps/>
          <w:color w:val="1E40AF"/>
          <w:sz w:val="22"/>
        </w:rPr>
        <w:t>Key Rules &amp; Reminders</w:t>
      </w:r>
    </w:p>
    <w:p>
      <w:pPr>
        <w:pStyle w:val="ListBullet"/>
        <w:spacing w:after="80"/>
      </w:pPr>
      <w:r>
        <w:rPr>
          <w:b/>
          <w:sz w:val="22"/>
        </w:rPr>
        <w:t>Always assign a customer.</w:t>
      </w:r>
      <w:r>
        <w:rPr>
          <w:sz w:val="22"/>
        </w:rPr>
        <w:t xml:space="preserve"> Charge sales must be tied to a named account for proper accounts receivable tracking.</w:t>
      </w:r>
    </w:p>
    <w:p>
      <w:pPr>
        <w:pStyle w:val="ListBullet"/>
        <w:spacing w:after="80"/>
      </w:pPr>
      <w:r>
        <w:rPr>
          <w:b/>
          <w:sz w:val="22"/>
        </w:rPr>
        <w:t>Reports exclude unpaid charges.</w:t>
      </w:r>
      <w:r>
        <w:rPr>
          <w:sz w:val="22"/>
        </w:rPr>
        <w:t xml:space="preserve"> Charge transactions only appear in reports once marked as Paid.</w:t>
      </w:r>
    </w:p>
    <w:p>
      <w:pPr>
        <w:pStyle w:val="ListBullet"/>
        <w:spacing w:after="80"/>
      </w:pPr>
      <w:r>
        <w:rPr>
          <w:b/>
          <w:sz w:val="22"/>
        </w:rPr>
        <w:t>Inventory is deducted at sale time.</w:t>
      </w:r>
      <w:r>
        <w:rPr>
          <w:sz w:val="22"/>
        </w:rPr>
        <w:t xml:space="preserve"> Regardless of payment status, stock is reduced immediately when the charge is confirmed.</w:t>
      </w:r>
    </w:p>
    <w:p>
      <w:pPr>
        <w:pStyle w:val="ListBullet"/>
        <w:spacing w:after="80"/>
      </w:pPr>
      <w:r>
        <w:rPr>
          <w:b/>
          <w:sz w:val="22"/>
        </w:rPr>
        <w:t>No cash is added to the register.</w:t>
      </w:r>
      <w:r>
        <w:rPr>
          <w:sz w:val="22"/>
        </w:rPr>
        <w:t xml:space="preserve"> Charge sales do not count toward the session's cash totals or transaction count.</w:t>
      </w:r>
    </w:p>
    <w:p>
      <w:pPr>
        <w:pStyle w:val="ListBullet"/>
        <w:spacing w:after="80"/>
      </w:pPr>
      <w:r>
        <w:rPr>
          <w:b/>
          <w:sz w:val="22"/>
        </w:rPr>
        <w:t>Monitor overdue accounts</w:t>
      </w:r>
      <w:r>
        <w:rPr>
          <w:sz w:val="22"/>
        </w:rPr>
        <w:t xml:space="preserve"> regularly via Admin Panel → Sales, filtering by Unpaid status and checking due dates.</w:t>
      </w:r>
    </w:p>
    <w:p>
      <w:pPr>
        <w:spacing w:before="120" w:after="160"/>
        <w:ind w:left="288"/>
      </w:pPr>
      <w:r>
        <w:rPr>
          <w:b/>
          <w:color w:val="B91C1C"/>
          <w:sz w:val="21"/>
        </w:rPr>
        <w:t xml:space="preserve">Reminder: </w:t>
      </w:r>
      <w:r>
        <w:rPr>
          <w:color w:val="B91C1C"/>
          <w:sz w:val="21"/>
        </w:rPr>
        <w:t>Do not use Charge for walk-in customers without a proper account. Always verify the customer's credit standing before approving a charge transaction.</w:t>
      </w:r>
    </w:p>
    <w:p>
      <w:pPr>
        <w:spacing w:before="480"/>
        <w:pBdr>
          <w:top w:val="single" w:sz="6" w:space="1" w:color="e2e8f0"/>
        </w:pBdr>
      </w:pPr>
      <w:r>
        <w:rPr>
          <w:color w:val="64748B"/>
          <w:sz w:val="17"/>
        </w:rPr>
        <w:t>Tri-E Enterprises OPC  ·  TOS Point of Sale System  ·  Charge Transaction Guide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