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The following list of services, delivered by our IbisCare program, are based on services required for the Comprehensive Primary Care Plus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</w:rPr>
        <w:t xml:space="preserve"> program. The cost reflects monthly, per member fees to cover the cost of the service. This program is expected to generate significant savings for the costliest 10% of the population. As such, Senscio</w:t>
      </w:r>
      <w:r>
        <w:rPr>
          <w:rtl w:val="0"/>
        </w:rPr>
        <w:t>’</w:t>
      </w:r>
      <w:r>
        <w:rPr>
          <w:rtl w:val="0"/>
        </w:rPr>
        <w:t xml:space="preserve">s profits from this program will be through a shared savings arrangement. 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77"/>
        <w:gridCol w:w="5189"/>
        <w:gridCol w:w="1589"/>
      </w:tblGrid>
      <w:tr>
        <w:tblPrEx>
          <w:shd w:val="clear" w:color="auto" w:fill="bdc0bf"/>
        </w:tblPrEx>
        <w:trPr>
          <w:trHeight w:val="568" w:hRule="atLeast"/>
          <w:tblHeader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Ibis Service for Intensive Care Management Service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jc w:val="center"/>
            </w:pPr>
            <w:r>
              <w:rPr>
                <w:rFonts w:ascii="Helvetica" w:hAnsi="Helvetica"/>
                <w:rtl w:val="0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57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Access and Continuity</w:t>
            </w:r>
          </w:p>
        </w:tc>
        <w:tc>
          <w:tcPr>
            <w:tcW w:type="dxa" w:w="51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Ensure members have 24/7 access to a care team practitioner with real-time access to the EHR. </w:t>
            </w:r>
          </w:p>
        </w:tc>
        <w:tc>
          <w:tcPr>
            <w:tcW w:type="dxa" w:w="158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$20 pmpm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25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Regularly offer at least one alternative to traditional office visits to increase access to care team and clinicians in a way that best meets the needs of the member, such as e-visits, phone visits, group visits, home visits, alternate location visits (e.g., senior centers and assisted living centers). </w:t>
            </w:r>
          </w:p>
        </w:tc>
        <w:tc>
          <w:tcPr>
            <w:tcW w:type="dxa" w:w="158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75" w:hRule="atLeast"/>
        </w:trPr>
        <w:tc>
          <w:tcPr>
            <w:tcW w:type="dxa" w:w="257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Care Management</w:t>
            </w:r>
          </w:p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tl w:val="0"/>
              </w:rPr>
              <w:t xml:space="preserve">Use a two-step risk stratification process for all empaneled patients: </w:t>
            </w:r>
          </w:p>
          <w:p>
            <w:pPr>
              <w:pStyle w:val="Body"/>
              <w:bidi w:val="0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rtl w:val="0"/>
              </w:rPr>
              <w:t xml:space="preserve">Step 1 - </w:t>
            </w:r>
            <w:r>
              <w:rPr>
                <w:rtl w:val="0"/>
              </w:rPr>
              <w:t xml:space="preserve">based on defined diagnoses, claims, or another algorithm (i.e., not care team intuition); </w:t>
            </w:r>
          </w:p>
          <w:p>
            <w:pPr>
              <w:pStyle w:val="Body"/>
              <w:bidi w:val="0"/>
            </w:pPr>
            <w:r>
              <w:rPr>
                <w:rFonts w:ascii="Times" w:hAnsi="Times"/>
                <w:i w:val="1"/>
                <w:iCs w:val="1"/>
                <w:rtl w:val="0"/>
              </w:rPr>
              <w:t xml:space="preserve">Step 2 - </w:t>
            </w:r>
            <w:r>
              <w:rPr>
                <w:rtl w:val="0"/>
              </w:rPr>
              <w:t>adds the care team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</w:rPr>
              <w:t xml:space="preserve">s perception of risk to adjust the risk-stratification of patients, as needed. </w:t>
            </w:r>
          </w:p>
        </w:tc>
        <w:tc>
          <w:tcPr>
            <w:tcW w:type="dxa" w:w="158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$100 pmpm + FFS for medication reconciliation after hospital discharge + FFS for post discharge home visits if needed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100% of members are assigned to care teams within 7 days of enrollment.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Provide targeted, proactive, relationship-based longitudinal care management to all members.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Coordinate timely interventions, as indicated by Ibis, with primary care, specialists, and social support providers.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Ensure hospitalized members receive a follow up interaction within one week of discharge.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Contact at least 75% of members who were hospitalized in target hospital(s), within 2 business days.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Update care plan following every hospitalization.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 a plan of care centered on member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s actions and support needs in management of chronic conditions.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257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tl w:val="0"/>
              </w:rPr>
              <w:t xml:space="preserve">Comprehensiveness and Coordination 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Systematically identify high- volume and/or high-cost specialists serving the member population using CMS/other payer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s data, and coordinate interventions with those specialists. </w:t>
            </w:r>
          </w:p>
        </w:tc>
        <w:tc>
          <w:tcPr>
            <w:tcW w:type="dxa" w:w="158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$10 pmpm + FFS for 4 home visits per year 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Identify hospitals and EDs responsible for the majority of members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’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hospitalizations and ED visits, and coordinate discharge from those hospitals.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Remotely monitor and assess health, including behavioral health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Systematically assess patients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’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psychosocial needs using evidence- based tools.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Maintain an inventory of resources and supports to meet patients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’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psychosocial needs.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Characterize important needs of sub- populations of high-risk patients and identify a practice capability to develop that will meet those needs, and can be tracked over time.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Patient and Caregiver Engagement </w:t>
            </w:r>
          </w:p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Implement self-management support for majority of conditions for all members.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$20 pmpm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Convene at least two meetings with member and family per year and integrate recommendations into care, as appropriate. 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257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Planned Care and Population Health </w:t>
            </w:r>
          </w:p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Use feedback reports provided by CMS/other payers at least quarterly on at least 2 utilization measures at the practice-level and practice data on at least 3 electronic clinical quality measures (derived from the EHR) at both practice- and panel-level to inform strategies to improve population health management. </w:t>
            </w:r>
          </w:p>
        </w:tc>
        <w:tc>
          <w:tcPr>
            <w:tcW w:type="dxa" w:w="158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$10 pmpm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Create weekly reports on population health for all members.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257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1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Participate at care team meetings at least weekly to review practice- and panel- level data from payers and internal monitoring and use this data to guide testing of tactics to improve care and achieve practice goals. </w:t>
            </w:r>
          </w:p>
        </w:tc>
        <w:tc>
          <w:tcPr>
            <w:tcW w:type="dxa" w:w="158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"https://innovation.cms.gov/initiatives/comprehensive-primary-care-plus"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https://innovation.cms.gov/initiatives/comprehensive-primary-care-plus</w:t>
      </w:r>
      <w:r>
        <w:rPr/>
        <w:fldChar w:fldCharType="end" w:fldLock="0"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pBdr>
        <w:top w:val="nil"/>
        <w:left w:val="nil"/>
        <w:bottom w:val="single" w:color="7f7f7f" w:sz="4" w:space="0" w:shadow="0" w:frame="0"/>
        <w:right w:val="nil"/>
      </w:pBdr>
      <w:rPr>
        <w:rFonts w:ascii="Helvetica Light" w:cs="Helvetica Light" w:hAnsi="Helvetica Light" w:eastAsia="Helvetica Light"/>
        <w:i w:val="1"/>
        <w:iCs w:val="1"/>
        <w:color w:val="5e8c1d"/>
        <w:position w:val="20"/>
        <w:sz w:val="32"/>
        <w:szCs w:val="32"/>
      </w:rPr>
    </w:pPr>
    <w:r>
      <w:rPr>
        <w:rFonts w:ascii="Helvetica Light" w:hAnsi="Helvetica Light"/>
        <w:i w:val="1"/>
        <w:iCs w:val="1"/>
        <w:color w:val="5e8c1d"/>
        <w:sz w:val="20"/>
        <w:szCs w:val="20"/>
      </w:rPr>
      <w:drawing>
        <wp:inline distT="0" distB="0" distL="0" distR="0">
          <wp:extent cx="1698628" cy="35824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enscio Logo tagline-black cropped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8628" cy="35824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Helvetica Light" w:hAnsi="Helvetica Light"/>
        <w:i w:val="1"/>
        <w:iCs w:val="1"/>
        <w:color w:val="5e8c1d"/>
        <w:sz w:val="20"/>
        <w:szCs w:val="20"/>
        <w:rtl w:val="0"/>
        <w:lang w:val="en-US"/>
      </w:rPr>
      <w:tab/>
      <w:tab/>
      <w:tab/>
      <w:tab/>
      <w:tab/>
      <w:tab/>
      <w:tab/>
      <w:t>IbisCare Services</w:t>
    </w:r>
  </w:p>
  <w:p>
    <w:pPr>
      <w:pStyle w:val="Free Form"/>
    </w:pPr>
    <w:r>
      <w:rPr>
        <w:position w:val="20"/>
        <w:sz w:val="2"/>
        <w:szCs w:val="2"/>
        <w:rtl w:val="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99"/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