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5247" w:rsidRDefault="00277A36">
      <w:bookmarkStart w:id="0" w:name="_GoBack"/>
      <w:bookmarkEnd w:id="0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11/19</w:t>
      </w:r>
      <w:r w:rsidR="00DA5247">
        <w:t>/2015</w:t>
      </w:r>
    </w:p>
    <w:p w:rsidR="00EF0526" w:rsidRPr="007A08F9" w:rsidRDefault="007A08F9">
      <w:r w:rsidRPr="007A08F9">
        <w:t xml:space="preserve">Elaine Roberts – Executive Director </w:t>
      </w:r>
      <w:r w:rsidR="00BA5A55" w:rsidRPr="007A08F9">
        <w:t xml:space="preserve">South Dakota </w:t>
      </w:r>
      <w:r w:rsidRPr="007A08F9">
        <w:t>Parent Connection</w:t>
      </w:r>
    </w:p>
    <w:p w:rsidR="007A08F9" w:rsidRDefault="007A08F9" w:rsidP="008451B9">
      <w:pPr>
        <w:spacing w:after="0"/>
      </w:pPr>
      <w:r w:rsidRPr="007A08F9">
        <w:t>Elaine,</w:t>
      </w:r>
    </w:p>
    <w:p w:rsidR="007A08F9" w:rsidRPr="008451B9" w:rsidRDefault="007A08F9" w:rsidP="008451B9">
      <w:pPr>
        <w:spacing w:after="0"/>
        <w:rPr>
          <w:sz w:val="20"/>
        </w:rPr>
      </w:pPr>
      <w:r w:rsidRPr="008451B9">
        <w:rPr>
          <w:sz w:val="20"/>
        </w:rPr>
        <w:t>We have reviewed the proposed contract changes.  The attached document has incorporated many of the proposed changes.  Th</w:t>
      </w:r>
      <w:r w:rsidR="00DA5247" w:rsidRPr="008451B9">
        <w:rPr>
          <w:sz w:val="20"/>
        </w:rPr>
        <w:t>ere were several changes that Senscio could not accept as proposed</w:t>
      </w:r>
      <w:r w:rsidR="00041177" w:rsidRPr="008451B9">
        <w:rPr>
          <w:sz w:val="20"/>
        </w:rPr>
        <w:t>.  These are listed below</w:t>
      </w:r>
      <w:r w:rsidRPr="008451B9">
        <w:rPr>
          <w:sz w:val="20"/>
        </w:rPr>
        <w:t>:</w:t>
      </w:r>
    </w:p>
    <w:p w:rsidR="007A08F9" w:rsidRPr="008451B9" w:rsidRDefault="001D38A2" w:rsidP="00276D82">
      <w:pPr>
        <w:pStyle w:val="ListParagraph"/>
        <w:numPr>
          <w:ilvl w:val="0"/>
          <w:numId w:val="1"/>
        </w:numPr>
        <w:rPr>
          <w:b/>
          <w:sz w:val="20"/>
        </w:rPr>
      </w:pPr>
      <w:r w:rsidRPr="008451B9">
        <w:rPr>
          <w:b/>
          <w:sz w:val="20"/>
        </w:rPr>
        <w:t xml:space="preserve">SW </w:t>
      </w:r>
      <w:r w:rsidR="00B94C6C" w:rsidRPr="008451B9">
        <w:rPr>
          <w:b/>
          <w:sz w:val="20"/>
        </w:rPr>
        <w:t xml:space="preserve">Ownership, </w:t>
      </w:r>
      <w:r w:rsidR="009565E7" w:rsidRPr="008451B9">
        <w:rPr>
          <w:b/>
          <w:sz w:val="20"/>
        </w:rPr>
        <w:t xml:space="preserve">Intellectual Property </w:t>
      </w:r>
      <w:r w:rsidRPr="008451B9">
        <w:rPr>
          <w:b/>
          <w:sz w:val="20"/>
        </w:rPr>
        <w:t>Joint Ownership</w:t>
      </w:r>
      <w:r w:rsidR="00B94C6C" w:rsidRPr="008451B9">
        <w:rPr>
          <w:b/>
          <w:sz w:val="20"/>
        </w:rPr>
        <w:t>, and Assignment</w:t>
      </w:r>
      <w:r w:rsidRPr="008451B9">
        <w:rPr>
          <w:b/>
          <w:sz w:val="20"/>
        </w:rPr>
        <w:t>:</w:t>
      </w:r>
      <w:r w:rsidRPr="008451B9">
        <w:rPr>
          <w:sz w:val="20"/>
        </w:rPr>
        <w:t xml:space="preserve">  </w:t>
      </w:r>
      <w:r w:rsidR="007A08F9" w:rsidRPr="008451B9">
        <w:rPr>
          <w:sz w:val="20"/>
        </w:rPr>
        <w:t>The first page of the contract</w:t>
      </w:r>
      <w:r w:rsidR="009565E7" w:rsidRPr="008451B9">
        <w:rPr>
          <w:sz w:val="20"/>
        </w:rPr>
        <w:t xml:space="preserve">, </w:t>
      </w:r>
      <w:r w:rsidR="007A08F9" w:rsidRPr="008451B9">
        <w:rPr>
          <w:sz w:val="20"/>
        </w:rPr>
        <w:t>exhibit A page 28 on the S</w:t>
      </w:r>
      <w:r w:rsidR="00E928BA" w:rsidRPr="008451B9">
        <w:rPr>
          <w:sz w:val="20"/>
        </w:rPr>
        <w:t>W License agreement</w:t>
      </w:r>
      <w:r w:rsidR="006E4173" w:rsidRPr="008451B9">
        <w:rPr>
          <w:sz w:val="20"/>
        </w:rPr>
        <w:t>, Exhibit B on Product Enhancements</w:t>
      </w:r>
      <w:r w:rsidR="00B94C6C" w:rsidRPr="008451B9">
        <w:rPr>
          <w:sz w:val="20"/>
        </w:rPr>
        <w:t xml:space="preserve"> and </w:t>
      </w:r>
      <w:r w:rsidR="009565E7" w:rsidRPr="008451B9">
        <w:rPr>
          <w:sz w:val="20"/>
        </w:rPr>
        <w:t>section 6.1 on Intellectual Property Rights</w:t>
      </w:r>
      <w:r w:rsidR="00DA5247" w:rsidRPr="008451B9">
        <w:rPr>
          <w:sz w:val="20"/>
        </w:rPr>
        <w:t xml:space="preserve"> proposes</w:t>
      </w:r>
      <w:r w:rsidR="007A08F9" w:rsidRPr="008451B9">
        <w:rPr>
          <w:sz w:val="20"/>
        </w:rPr>
        <w:t xml:space="preserve"> joint ownership of</w:t>
      </w:r>
      <w:r w:rsidR="005F4EEE" w:rsidRPr="008451B9">
        <w:rPr>
          <w:sz w:val="20"/>
        </w:rPr>
        <w:t xml:space="preserve"> the SW. </w:t>
      </w:r>
      <w:r w:rsidR="00B94C6C" w:rsidRPr="008451B9">
        <w:rPr>
          <w:sz w:val="20"/>
        </w:rPr>
        <w:t>Page 12 section 11.10 and page 31 section 3.8 proposes a change affecting assignment of rights that derives from the proposal for joint ownership of the SW.</w:t>
      </w:r>
      <w:r w:rsidR="005F4EEE" w:rsidRPr="008451B9">
        <w:rPr>
          <w:sz w:val="20"/>
        </w:rPr>
        <w:t xml:space="preserve"> S</w:t>
      </w:r>
      <w:r w:rsidR="00DA5247" w:rsidRPr="008451B9">
        <w:rPr>
          <w:sz w:val="20"/>
        </w:rPr>
        <w:t xml:space="preserve">enscio cannot accept a joint SW ownership; however, </w:t>
      </w:r>
      <w:r w:rsidR="000A0B57" w:rsidRPr="008451B9">
        <w:rPr>
          <w:sz w:val="20"/>
        </w:rPr>
        <w:t>we are open as discussed previously to working out</w:t>
      </w:r>
      <w:r w:rsidR="005F4EEE" w:rsidRPr="008451B9">
        <w:rPr>
          <w:sz w:val="20"/>
        </w:rPr>
        <w:t xml:space="preserve"> a royalty</w:t>
      </w:r>
      <w:r w:rsidR="006E4173" w:rsidRPr="008451B9">
        <w:rPr>
          <w:sz w:val="20"/>
        </w:rPr>
        <w:t xml:space="preserve"> </w:t>
      </w:r>
      <w:r w:rsidR="000A0B57" w:rsidRPr="008451B9">
        <w:rPr>
          <w:sz w:val="20"/>
        </w:rPr>
        <w:t>separate from this contract</w:t>
      </w:r>
      <w:r w:rsidR="00276D82" w:rsidRPr="008451B9">
        <w:rPr>
          <w:sz w:val="20"/>
        </w:rPr>
        <w:t xml:space="preserve"> for the Document Repository functionality developed in collaboration with SDPC.</w:t>
      </w:r>
    </w:p>
    <w:p w:rsidR="00DD5BD7" w:rsidRPr="008451B9" w:rsidRDefault="00DD5BD7" w:rsidP="00DD5BD7">
      <w:pPr>
        <w:pStyle w:val="ListParagraph"/>
        <w:numPr>
          <w:ilvl w:val="0"/>
          <w:numId w:val="1"/>
        </w:numPr>
        <w:rPr>
          <w:sz w:val="20"/>
        </w:rPr>
      </w:pPr>
      <w:r w:rsidRPr="008451B9">
        <w:rPr>
          <w:b/>
          <w:sz w:val="20"/>
        </w:rPr>
        <w:t>Licensee Definition:</w:t>
      </w:r>
      <w:r w:rsidRPr="008451B9">
        <w:rPr>
          <w:sz w:val="20"/>
        </w:rPr>
        <w:t xml:space="preserve">  </w:t>
      </w:r>
      <w:r w:rsidR="00DA5247" w:rsidRPr="008451B9">
        <w:rPr>
          <w:sz w:val="20"/>
        </w:rPr>
        <w:t>SDPC proposes</w:t>
      </w:r>
      <w:r w:rsidR="005F4EEE" w:rsidRPr="008451B9">
        <w:rPr>
          <w:sz w:val="20"/>
        </w:rPr>
        <w:t xml:space="preserve"> expanding </w:t>
      </w:r>
      <w:r w:rsidR="00DA5247" w:rsidRPr="008451B9">
        <w:rPr>
          <w:sz w:val="20"/>
        </w:rPr>
        <w:t xml:space="preserve">the </w:t>
      </w:r>
      <w:r w:rsidR="005F4EEE" w:rsidRPr="008451B9">
        <w:rPr>
          <w:sz w:val="20"/>
        </w:rPr>
        <w:t>definition of</w:t>
      </w:r>
      <w:r w:rsidRPr="008451B9">
        <w:rPr>
          <w:sz w:val="20"/>
        </w:rPr>
        <w:t xml:space="preserve"> “Licensee” under page 2 section 2</w:t>
      </w:r>
      <w:r w:rsidR="00DA5247" w:rsidRPr="008451B9">
        <w:rPr>
          <w:sz w:val="20"/>
        </w:rPr>
        <w:t xml:space="preserve">.1 Licenses to provide </w:t>
      </w:r>
      <w:r w:rsidRPr="008451B9">
        <w:rPr>
          <w:sz w:val="20"/>
        </w:rPr>
        <w:t xml:space="preserve">“employees, consultants, contractors and member families a worldwide license and right to use.”   This </w:t>
      </w:r>
      <w:r w:rsidR="005F4EEE" w:rsidRPr="008451B9">
        <w:rPr>
          <w:sz w:val="20"/>
        </w:rPr>
        <w:t>is too broad a definition as the license agreement is with SDPC</w:t>
      </w:r>
      <w:r w:rsidR="00DA5247" w:rsidRPr="008451B9">
        <w:rPr>
          <w:sz w:val="20"/>
        </w:rPr>
        <w:t xml:space="preserve"> as currently stated in the contract.</w:t>
      </w:r>
    </w:p>
    <w:p w:rsidR="00DD5BD7" w:rsidRPr="008451B9" w:rsidRDefault="00DD5BD7" w:rsidP="00DD5BD7">
      <w:pPr>
        <w:pStyle w:val="ListParagraph"/>
        <w:numPr>
          <w:ilvl w:val="0"/>
          <w:numId w:val="1"/>
        </w:numPr>
        <w:rPr>
          <w:sz w:val="20"/>
        </w:rPr>
      </w:pPr>
      <w:r w:rsidRPr="008451B9">
        <w:rPr>
          <w:b/>
          <w:sz w:val="20"/>
        </w:rPr>
        <w:t>Equipment Maintenance:</w:t>
      </w:r>
      <w:r w:rsidRPr="008451B9">
        <w:rPr>
          <w:sz w:val="20"/>
        </w:rPr>
        <w:t xml:space="preserve">  Section 2.5 on page 3 for</w:t>
      </w:r>
      <w:r w:rsidR="00DA5247" w:rsidRPr="008451B9">
        <w:rPr>
          <w:sz w:val="20"/>
        </w:rPr>
        <w:t xml:space="preserve"> Maintenance of Equipment proposes saying </w:t>
      </w:r>
      <w:r w:rsidR="00B94C6C" w:rsidRPr="008451B9">
        <w:rPr>
          <w:sz w:val="20"/>
        </w:rPr>
        <w:t>“Licensor will make every effort to replace a defective unit within two (2) business days</w:t>
      </w:r>
      <w:r w:rsidRPr="008451B9">
        <w:rPr>
          <w:sz w:val="20"/>
        </w:rPr>
        <w:t>”</w:t>
      </w:r>
      <w:r w:rsidR="00DA5247" w:rsidRPr="008451B9">
        <w:rPr>
          <w:sz w:val="20"/>
        </w:rPr>
        <w:t xml:space="preserve"> instead o</w:t>
      </w:r>
      <w:r w:rsidR="00B94C6C" w:rsidRPr="008451B9">
        <w:rPr>
          <w:sz w:val="20"/>
        </w:rPr>
        <w:t>f “within a reasonable</w:t>
      </w:r>
      <w:r w:rsidR="00DA5247" w:rsidRPr="008451B9">
        <w:rPr>
          <w:sz w:val="20"/>
        </w:rPr>
        <w:t xml:space="preserve"> time</w:t>
      </w:r>
      <w:r w:rsidR="00B94C6C" w:rsidRPr="008451B9">
        <w:rPr>
          <w:sz w:val="20"/>
        </w:rPr>
        <w:t xml:space="preserve"> as described in Appendix A</w:t>
      </w:r>
      <w:r w:rsidR="00DA5247" w:rsidRPr="008451B9">
        <w:rPr>
          <w:sz w:val="20"/>
        </w:rPr>
        <w:t>.”</w:t>
      </w:r>
      <w:r w:rsidR="00B94C6C" w:rsidRPr="008451B9">
        <w:rPr>
          <w:sz w:val="20"/>
        </w:rPr>
        <w:t xml:space="preserve">  Appendix A provides the specifics referred to by section 2.5.  Therefore the original statement should stay as stated.</w:t>
      </w:r>
    </w:p>
    <w:p w:rsidR="00DD5BD7" w:rsidRPr="008451B9" w:rsidRDefault="00DD5BD7" w:rsidP="00DD5BD7">
      <w:pPr>
        <w:pStyle w:val="ListParagraph"/>
        <w:numPr>
          <w:ilvl w:val="0"/>
          <w:numId w:val="1"/>
        </w:numPr>
        <w:rPr>
          <w:sz w:val="20"/>
        </w:rPr>
      </w:pPr>
      <w:r w:rsidRPr="008451B9">
        <w:rPr>
          <w:b/>
          <w:sz w:val="20"/>
        </w:rPr>
        <w:t>Liability Limit:</w:t>
      </w:r>
      <w:r w:rsidRPr="008451B9">
        <w:rPr>
          <w:sz w:val="20"/>
        </w:rPr>
        <w:t xml:space="preserve">  </w:t>
      </w:r>
      <w:r w:rsidR="00DA5247" w:rsidRPr="008451B9">
        <w:rPr>
          <w:sz w:val="20"/>
        </w:rPr>
        <w:t xml:space="preserve">Section 5.2 on page 4 </w:t>
      </w:r>
      <w:r w:rsidR="005F4EEE" w:rsidRPr="008451B9">
        <w:rPr>
          <w:sz w:val="20"/>
        </w:rPr>
        <w:t>proposes removing</w:t>
      </w:r>
      <w:r w:rsidRPr="008451B9">
        <w:rPr>
          <w:sz w:val="20"/>
        </w:rPr>
        <w:t xml:space="preserve"> a maximum</w:t>
      </w:r>
      <w:r w:rsidR="005F4EEE" w:rsidRPr="008451B9">
        <w:rPr>
          <w:sz w:val="20"/>
        </w:rPr>
        <w:t xml:space="preserve"> liability of</w:t>
      </w:r>
      <w:r w:rsidRPr="008451B9">
        <w:rPr>
          <w:sz w:val="20"/>
        </w:rPr>
        <w:t xml:space="preserve"> 10% of annual payments.   </w:t>
      </w:r>
      <w:r w:rsidR="009565E7" w:rsidRPr="008451B9">
        <w:rPr>
          <w:sz w:val="20"/>
        </w:rPr>
        <w:t>Senscio feels that 10% maximum is reasonable</w:t>
      </w:r>
      <w:r w:rsidR="00CE70AD" w:rsidRPr="008451B9">
        <w:rPr>
          <w:sz w:val="20"/>
        </w:rPr>
        <w:t xml:space="preserve"> in the contract</w:t>
      </w:r>
      <w:r w:rsidRPr="008451B9">
        <w:rPr>
          <w:sz w:val="20"/>
        </w:rPr>
        <w:t>.</w:t>
      </w:r>
    </w:p>
    <w:p w:rsidR="009565E7" w:rsidRPr="008451B9" w:rsidRDefault="009565E7" w:rsidP="009565E7">
      <w:pPr>
        <w:pStyle w:val="ListParagraph"/>
        <w:numPr>
          <w:ilvl w:val="0"/>
          <w:numId w:val="1"/>
        </w:numPr>
        <w:rPr>
          <w:sz w:val="20"/>
        </w:rPr>
      </w:pPr>
      <w:r w:rsidRPr="008451B9">
        <w:rPr>
          <w:b/>
          <w:sz w:val="20"/>
        </w:rPr>
        <w:t>Population Data:</w:t>
      </w:r>
      <w:r w:rsidRPr="008451B9">
        <w:rPr>
          <w:sz w:val="20"/>
        </w:rPr>
        <w:t xml:space="preserve">  </w:t>
      </w:r>
      <w:r w:rsidR="005F4EEE" w:rsidRPr="008451B9">
        <w:rPr>
          <w:sz w:val="20"/>
        </w:rPr>
        <w:t>SDPC proposes</w:t>
      </w:r>
      <w:r w:rsidRPr="008451B9">
        <w:rPr>
          <w:sz w:val="20"/>
        </w:rPr>
        <w:t xml:space="preserve"> on Page 7 section 8.1.3 </w:t>
      </w:r>
      <w:r w:rsidR="005F4EEE" w:rsidRPr="008451B9">
        <w:rPr>
          <w:sz w:val="20"/>
        </w:rPr>
        <w:t>prior</w:t>
      </w:r>
      <w:r w:rsidRPr="008451B9">
        <w:rPr>
          <w:sz w:val="20"/>
        </w:rPr>
        <w:t xml:space="preserve"> written consent of SDPC to use de-identified population data</w:t>
      </w:r>
      <w:r w:rsidR="005F4EEE" w:rsidRPr="008451B9">
        <w:rPr>
          <w:sz w:val="20"/>
        </w:rPr>
        <w:t xml:space="preserve"> and in section 9.3 the termination of any population data usage if </w:t>
      </w:r>
      <w:r w:rsidR="00CE70AD" w:rsidRPr="008451B9">
        <w:rPr>
          <w:sz w:val="20"/>
        </w:rPr>
        <w:t xml:space="preserve">the </w:t>
      </w:r>
      <w:r w:rsidR="005F4EEE" w:rsidRPr="008451B9">
        <w:rPr>
          <w:sz w:val="20"/>
        </w:rPr>
        <w:t>agreement terminates</w:t>
      </w:r>
      <w:r w:rsidRPr="008451B9">
        <w:rPr>
          <w:sz w:val="20"/>
        </w:rPr>
        <w:t xml:space="preserve">.  Overall </w:t>
      </w:r>
      <w:r w:rsidR="00CE70AD" w:rsidRPr="008451B9">
        <w:rPr>
          <w:sz w:val="20"/>
        </w:rPr>
        <w:t xml:space="preserve">de-identified </w:t>
      </w:r>
      <w:r w:rsidR="005F4EEE" w:rsidRPr="008451B9">
        <w:rPr>
          <w:sz w:val="20"/>
        </w:rPr>
        <w:t xml:space="preserve">population level data </w:t>
      </w:r>
      <w:r w:rsidRPr="008451B9">
        <w:rPr>
          <w:sz w:val="20"/>
        </w:rPr>
        <w:t>outcomes are very important to Senscio to be able to use for</w:t>
      </w:r>
      <w:r w:rsidR="00CE70AD" w:rsidRPr="008451B9">
        <w:rPr>
          <w:sz w:val="20"/>
        </w:rPr>
        <w:t xml:space="preserve"> long term</w:t>
      </w:r>
      <w:r w:rsidRPr="008451B9">
        <w:rPr>
          <w:sz w:val="20"/>
        </w:rPr>
        <w:t xml:space="preserve"> analytics and to demonstrate a successful product solution.</w:t>
      </w:r>
      <w:r w:rsidR="00277A36" w:rsidRPr="008451B9">
        <w:rPr>
          <w:noProof/>
          <w:sz w:val="20"/>
        </w:rPr>
        <w:t xml:space="preserve"> </w:t>
      </w:r>
    </w:p>
    <w:p w:rsidR="00BA5A55" w:rsidRPr="008451B9" w:rsidRDefault="001D38A2" w:rsidP="00BA5A55">
      <w:pPr>
        <w:pStyle w:val="ListParagraph"/>
        <w:numPr>
          <w:ilvl w:val="0"/>
          <w:numId w:val="1"/>
        </w:numPr>
        <w:rPr>
          <w:sz w:val="20"/>
        </w:rPr>
      </w:pPr>
      <w:r w:rsidRPr="008451B9">
        <w:rPr>
          <w:b/>
          <w:sz w:val="20"/>
        </w:rPr>
        <w:t>Arbitration:</w:t>
      </w:r>
      <w:r w:rsidRPr="008451B9">
        <w:rPr>
          <w:sz w:val="20"/>
        </w:rPr>
        <w:t xml:space="preserve">  </w:t>
      </w:r>
      <w:r w:rsidR="0058677F" w:rsidRPr="008451B9">
        <w:rPr>
          <w:sz w:val="20"/>
        </w:rPr>
        <w:t xml:space="preserve">In section 10, SDPC proposes an alternative Dispute Resolution approach instead of Arbitration.  Arbitration is </w:t>
      </w:r>
      <w:r w:rsidR="00CE70AD" w:rsidRPr="008451B9">
        <w:rPr>
          <w:sz w:val="20"/>
        </w:rPr>
        <w:t xml:space="preserve">a </w:t>
      </w:r>
      <w:r w:rsidR="0058677F" w:rsidRPr="008451B9">
        <w:rPr>
          <w:sz w:val="20"/>
        </w:rPr>
        <w:t>standard approach that needs to be used for this contract</w:t>
      </w:r>
      <w:r w:rsidR="00BA5A55" w:rsidRPr="008451B9">
        <w:rPr>
          <w:sz w:val="20"/>
        </w:rPr>
        <w:t>.</w:t>
      </w:r>
    </w:p>
    <w:p w:rsidR="001D38A2" w:rsidRPr="008451B9" w:rsidRDefault="001D38A2" w:rsidP="001D38A2">
      <w:pPr>
        <w:pStyle w:val="ListParagraph"/>
        <w:numPr>
          <w:ilvl w:val="0"/>
          <w:numId w:val="1"/>
        </w:numPr>
        <w:tabs>
          <w:tab w:val="left" w:pos="6120"/>
        </w:tabs>
        <w:rPr>
          <w:sz w:val="20"/>
        </w:rPr>
      </w:pPr>
      <w:r w:rsidRPr="008451B9">
        <w:rPr>
          <w:b/>
          <w:sz w:val="20"/>
        </w:rPr>
        <w:t>Governing Law:</w:t>
      </w:r>
      <w:r w:rsidRPr="008451B9">
        <w:rPr>
          <w:sz w:val="20"/>
        </w:rPr>
        <w:t xml:space="preserve">   Massachusetts rather than South Dakota</w:t>
      </w:r>
      <w:r w:rsidR="0058677F" w:rsidRPr="008451B9">
        <w:rPr>
          <w:sz w:val="20"/>
        </w:rPr>
        <w:t>.  Senscio prefers Massachusetts.  Can accept South Dakota however.</w:t>
      </w:r>
    </w:p>
    <w:p w:rsidR="001D38A2" w:rsidRPr="008451B9" w:rsidRDefault="00E928BA" w:rsidP="00BA5A55">
      <w:pPr>
        <w:pStyle w:val="ListParagraph"/>
        <w:numPr>
          <w:ilvl w:val="0"/>
          <w:numId w:val="1"/>
        </w:numPr>
        <w:rPr>
          <w:b/>
          <w:sz w:val="20"/>
        </w:rPr>
      </w:pPr>
      <w:r w:rsidRPr="008451B9">
        <w:rPr>
          <w:b/>
          <w:sz w:val="20"/>
        </w:rPr>
        <w:t xml:space="preserve">Problem Resolution:  </w:t>
      </w:r>
      <w:r w:rsidR="00CE70AD" w:rsidRPr="008451B9">
        <w:rPr>
          <w:sz w:val="20"/>
        </w:rPr>
        <w:t>Page 16 Appendix A.  SDPC proposes changing the r</w:t>
      </w:r>
      <w:r w:rsidRPr="008451B9">
        <w:rPr>
          <w:sz w:val="20"/>
        </w:rPr>
        <w:t xml:space="preserve">esolution </w:t>
      </w:r>
      <w:r w:rsidR="00CE70AD" w:rsidRPr="008451B9">
        <w:rPr>
          <w:sz w:val="20"/>
        </w:rPr>
        <w:t>time for</w:t>
      </w:r>
      <w:r w:rsidRPr="008451B9">
        <w:rPr>
          <w:sz w:val="20"/>
        </w:rPr>
        <w:t xml:space="preserve"> Low priority </w:t>
      </w:r>
      <w:r w:rsidR="00CE70AD" w:rsidRPr="008451B9">
        <w:rPr>
          <w:sz w:val="20"/>
        </w:rPr>
        <w:t>items to a</w:t>
      </w:r>
      <w:r w:rsidRPr="008451B9">
        <w:rPr>
          <w:sz w:val="20"/>
        </w:rPr>
        <w:t xml:space="preserve"> week rather than “may be in a future SW or documentation release.”</w:t>
      </w:r>
      <w:r w:rsidR="0058677F" w:rsidRPr="008451B9">
        <w:rPr>
          <w:sz w:val="20"/>
        </w:rPr>
        <w:t xml:space="preserve">  Senscio cannot make a</w:t>
      </w:r>
      <w:r w:rsidR="00CE70AD" w:rsidRPr="008451B9">
        <w:rPr>
          <w:sz w:val="20"/>
        </w:rPr>
        <w:t xml:space="preserve"> resolution</w:t>
      </w:r>
      <w:r w:rsidR="0058677F" w:rsidRPr="008451B9">
        <w:rPr>
          <w:sz w:val="20"/>
        </w:rPr>
        <w:t xml:space="preserve"> commitment on low priority items.</w:t>
      </w:r>
    </w:p>
    <w:p w:rsidR="001D38A2" w:rsidRPr="008451B9" w:rsidRDefault="00E928BA" w:rsidP="00BA5A55">
      <w:pPr>
        <w:pStyle w:val="ListParagraph"/>
        <w:numPr>
          <w:ilvl w:val="0"/>
          <w:numId w:val="1"/>
        </w:numPr>
        <w:rPr>
          <w:b/>
          <w:sz w:val="20"/>
        </w:rPr>
      </w:pPr>
      <w:r w:rsidRPr="008451B9">
        <w:rPr>
          <w:b/>
          <w:sz w:val="20"/>
        </w:rPr>
        <w:t xml:space="preserve">Limitation on Obligations:   </w:t>
      </w:r>
      <w:r w:rsidRPr="008451B9">
        <w:rPr>
          <w:sz w:val="20"/>
        </w:rPr>
        <w:t xml:space="preserve">Page 32 Exhibit </w:t>
      </w:r>
      <w:proofErr w:type="gramStart"/>
      <w:r w:rsidRPr="008451B9">
        <w:rPr>
          <w:sz w:val="20"/>
        </w:rPr>
        <w:t>A</w:t>
      </w:r>
      <w:proofErr w:type="gramEnd"/>
      <w:r w:rsidRPr="008451B9">
        <w:rPr>
          <w:sz w:val="20"/>
        </w:rPr>
        <w:t xml:space="preserve"> </w:t>
      </w:r>
      <w:r w:rsidR="00454081" w:rsidRPr="008451B9">
        <w:rPr>
          <w:sz w:val="20"/>
        </w:rPr>
        <w:t xml:space="preserve">SDPC </w:t>
      </w:r>
      <w:r w:rsidR="00CE70AD" w:rsidRPr="008451B9">
        <w:rPr>
          <w:sz w:val="20"/>
        </w:rPr>
        <w:t xml:space="preserve">proposed adding a </w:t>
      </w:r>
      <w:r w:rsidRPr="008451B9">
        <w:rPr>
          <w:sz w:val="20"/>
        </w:rPr>
        <w:t>section 4.2</w:t>
      </w:r>
      <w:r w:rsidR="00CE70AD" w:rsidRPr="008451B9">
        <w:rPr>
          <w:sz w:val="20"/>
        </w:rPr>
        <w:t xml:space="preserve"> along with</w:t>
      </w:r>
      <w:r w:rsidR="00454081" w:rsidRPr="008451B9">
        <w:rPr>
          <w:sz w:val="20"/>
        </w:rPr>
        <w:t xml:space="preserve"> several changes related to the proposed joint ownership of software.  </w:t>
      </w:r>
      <w:r w:rsidR="00CE70AD" w:rsidRPr="008451B9">
        <w:rPr>
          <w:sz w:val="20"/>
        </w:rPr>
        <w:t xml:space="preserve">This is not needed </w:t>
      </w:r>
      <w:r w:rsidR="00454081" w:rsidRPr="008451B9">
        <w:rPr>
          <w:sz w:val="20"/>
        </w:rPr>
        <w:t>given the answer to #1 above.</w:t>
      </w:r>
    </w:p>
    <w:p w:rsidR="00277A36" w:rsidRPr="008451B9" w:rsidRDefault="00041177" w:rsidP="00DA5247">
      <w:pPr>
        <w:rPr>
          <w:sz w:val="20"/>
        </w:rPr>
      </w:pPr>
      <w:r w:rsidRPr="008451B9">
        <w:rPr>
          <w:sz w:val="20"/>
        </w:rPr>
        <w:t>I appreciate your patience and diligence with resolving the contact items and look forward to a long business relationship with SDPC.  Please call me if you would like to discuss further.</w:t>
      </w:r>
    </w:p>
    <w:p w:rsidR="008451B9" w:rsidRDefault="00277A36" w:rsidP="008451B9">
      <w:r>
        <w:rPr>
          <w:noProof/>
        </w:rPr>
        <w:drawing>
          <wp:inline distT="0" distB="0" distL="0" distR="0" wp14:anchorId="7091D444" wp14:editId="2589259F">
            <wp:extent cx="1988816" cy="342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llsignaturePHF.tif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1128" cy="343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177" w:rsidRDefault="00041177" w:rsidP="008451B9">
      <w:pPr>
        <w:spacing w:after="0"/>
      </w:pPr>
      <w:r>
        <w:t>Paul H. Floyd - COO / CFO</w:t>
      </w:r>
    </w:p>
    <w:p w:rsidR="00041177" w:rsidRPr="00041177" w:rsidRDefault="00041177" w:rsidP="008451B9">
      <w:pPr>
        <w:spacing w:after="0"/>
      </w:pPr>
      <w:r>
        <w:t>Senscio Systems, Inc.</w:t>
      </w:r>
    </w:p>
    <w:sectPr w:rsidR="00041177" w:rsidRPr="00041177" w:rsidSect="008451B9">
      <w:pgSz w:w="12240" w:h="15840" w:code="1"/>
      <w:pgMar w:top="1440" w:right="126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82790A"/>
    <w:multiLevelType w:val="hybridMultilevel"/>
    <w:tmpl w:val="9E92C8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A55"/>
    <w:rsid w:val="00041177"/>
    <w:rsid w:val="000A0B57"/>
    <w:rsid w:val="00114831"/>
    <w:rsid w:val="001D38A2"/>
    <w:rsid w:val="00276D82"/>
    <w:rsid w:val="00277A36"/>
    <w:rsid w:val="00454081"/>
    <w:rsid w:val="00550F2D"/>
    <w:rsid w:val="0058677F"/>
    <w:rsid w:val="005F4EEE"/>
    <w:rsid w:val="006E4173"/>
    <w:rsid w:val="007A08F9"/>
    <w:rsid w:val="008451B9"/>
    <w:rsid w:val="00871870"/>
    <w:rsid w:val="008E1F7C"/>
    <w:rsid w:val="009565E7"/>
    <w:rsid w:val="00B94C6C"/>
    <w:rsid w:val="00BA5A55"/>
    <w:rsid w:val="00CE70AD"/>
    <w:rsid w:val="00D5552B"/>
    <w:rsid w:val="00DA5247"/>
    <w:rsid w:val="00DD5BD7"/>
    <w:rsid w:val="00E928BA"/>
    <w:rsid w:val="00ED0625"/>
    <w:rsid w:val="00F34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5A5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7A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7A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5A5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7A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7A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if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480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Floyd</dc:creator>
  <cp:lastModifiedBy>Paul Floyd</cp:lastModifiedBy>
  <cp:revision>12</cp:revision>
  <cp:lastPrinted>2015-11-19T20:46:00Z</cp:lastPrinted>
  <dcterms:created xsi:type="dcterms:W3CDTF">2015-11-13T15:00:00Z</dcterms:created>
  <dcterms:modified xsi:type="dcterms:W3CDTF">2015-11-19T20:46:00Z</dcterms:modified>
</cp:coreProperties>
</file>