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720" w:firstLine="0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Curtains</w:t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720" w:firstLine="0"/>
        <w:rPr>
          <w:rFonts w:ascii="Calibri" w:cs="Calibri" w:eastAsia="Calibri" w:hAnsi="Calibri"/>
          <w:i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u w:val="single"/>
          <w:rtl w:val="0"/>
        </w:rPr>
        <w:t xml:space="preserve">Blockout curtains: 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Complete Darkness: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Designed to block out all light, perfect for bedrooms, home theatres, and any space where total darkness is needed.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High-Quality Fabric: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Made from thick, durable materials that ensure maximum light blockage and long-lasting use.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Enhanced Insulation: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Helps reduce heat and noise, contributing to a more comfortable and quieter environment.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Stylish Design: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Features a modern and elegant look that complements any interior decor.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Improved Privacy: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Provides excellent privacy while maintaining a sleek appearance.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Australian Quality: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Crafted to meet high standards, offering both functionality and aesthetic appeal.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Compatible with other products: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Blockout curtains are compatible with sunscreen blinds and light filters.</w:t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Sheer curtains: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Soft Light Filtering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Gently diffuses natural light to create a bright, airy atmosphere while softening harsh sunlight.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Elegant Appearance: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Adds a touch of sophistication and elegance to any room with their light, flowing fabric.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Enhanced Privacy: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Provides a level of privacy during the day while still allowing you to enjoy an outside view.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High-Quality Fabric: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Crafted from premium, lightweight materials designed for durability and easy maintenance.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Versatile Use: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Ideal for living rooms, dining areas, and other spaces where you want to combine light control with style.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Easy to Install: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Simple to hang and maintain, offering effortless beauty and functionality.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Compatible with other products: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Sheer curtains are compatible with blockout roller blinds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