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D98A" w14:textId="77777777" w:rsidR="00FD07AE" w:rsidRDefault="00EA33B8">
      <w:r>
        <w:t>Code-Layout, Readability and Reusability</w:t>
      </w:r>
    </w:p>
    <w:tbl>
      <w:tblPr>
        <w:tblStyle w:val="TableGrid"/>
        <w:tblW w:w="9468" w:type="dxa"/>
        <w:tblInd w:w="-221" w:type="dxa"/>
        <w:tblCellMar>
          <w:top w:w="122" w:type="dxa"/>
          <w:left w:w="8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567"/>
        <w:gridCol w:w="1814"/>
        <w:gridCol w:w="340"/>
        <w:gridCol w:w="3118"/>
        <w:gridCol w:w="1814"/>
        <w:gridCol w:w="1815"/>
      </w:tblGrid>
      <w:tr w:rsidR="00FD07AE" w14:paraId="24898A29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06356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0FE323" w14:textId="18973303" w:rsidR="00FD07AE" w:rsidRDefault="00EA33B8">
            <w:pPr>
              <w:ind w:left="0"/>
            </w:pPr>
            <w:r>
              <w:rPr>
                <w:b w:val="0"/>
                <w:sz w:val="15"/>
              </w:rPr>
              <w:t xml:space="preserve">01 Oct </w:t>
            </w:r>
            <w:r>
              <w:rPr>
                <w:b w:val="0"/>
                <w:sz w:val="15"/>
              </w:rPr>
              <w:t>2026</w:t>
            </w:r>
          </w:p>
        </w:tc>
      </w:tr>
      <w:tr w:rsidR="00FD07AE" w14:paraId="11976AC7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861592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F6513C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FD07AE" w14:paraId="20D56225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8110F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E35233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FD07AE" w14:paraId="052D4515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22E368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AEEF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5 Marks</w:t>
            </w:r>
          </w:p>
        </w:tc>
      </w:tr>
      <w:tr w:rsidR="00FD07AE" w14:paraId="427A99FB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4BFEC94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S.No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E3BB36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Code Quality Parameter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891F177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Description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1E93CD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Followed</w:t>
            </w:r>
          </w:p>
          <w:p w14:paraId="1BCF0EEC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(Yes/No/Partial)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17C23E9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Remarks</w:t>
            </w:r>
          </w:p>
        </w:tc>
      </w:tr>
      <w:tr w:rsidR="00FD07AE" w14:paraId="6AEC7C6F" w14:textId="77777777">
        <w:trPr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72013B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A62679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Modular design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1EDB7C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Flow logic is separated into trigger, classification branches, update actions and email action.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6CA44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1A383E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Flow Designer provides structured branches.</w:t>
            </w:r>
          </w:p>
        </w:tc>
      </w:tr>
      <w:tr w:rsidR="00FD07AE" w14:paraId="7BFD54D9" w14:textId="77777777">
        <w:trPr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6EAD55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FC44DB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Readability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A817E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Condition labels such as Wi-Fi, Projector, Password and Performance describe the rule purpose.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7682E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87F635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Labels documented in project.</w:t>
            </w:r>
          </w:p>
        </w:tc>
      </w:tr>
      <w:tr w:rsidR="00FD07AE" w14:paraId="08C7DFF1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AD03F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7CF8CF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Reusability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62093E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Keyword-based rules can be extended with additional Else If branches.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098CE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6E693B" w14:textId="77777777" w:rsidR="00FD07AE" w:rsidRDefault="00EA33B8">
            <w:pPr>
              <w:ind w:left="0" w:right="17"/>
            </w:pPr>
            <w:r>
              <w:rPr>
                <w:b w:val="0"/>
                <w:sz w:val="15"/>
              </w:rPr>
              <w:t>No-code design supports maintenance.</w:t>
            </w:r>
          </w:p>
        </w:tc>
      </w:tr>
      <w:tr w:rsidR="00FD07AE" w14:paraId="0BDB496A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E6DC6A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2D3BC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18547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Configuration is packaged in an Update Set and can be exported as XML.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82AE31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614687" w14:textId="77777777" w:rsidR="00FD07AE" w:rsidRDefault="00EA33B8">
            <w:pPr>
              <w:ind w:left="0" w:right="17"/>
            </w:pPr>
            <w:r>
              <w:rPr>
                <w:b w:val="0"/>
                <w:sz w:val="15"/>
              </w:rPr>
              <w:t>Documented deployment step.</w:t>
            </w:r>
          </w:p>
        </w:tc>
      </w:tr>
      <w:tr w:rsidR="00FD07AE" w14:paraId="3DF00517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9C2CF7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5F3AE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Comments / documentation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124AAE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Project documentation records navigation steps and expected behavior.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7C156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0EF0F" w14:textId="77777777" w:rsidR="00FD07AE" w:rsidRDefault="00EA33B8">
            <w:pPr>
              <w:ind w:left="0"/>
            </w:pPr>
            <w:r>
              <w:rPr>
                <w:b w:val="0"/>
                <w:sz w:val="15"/>
              </w:rPr>
              <w:t>Detailed process documentation provided.</w:t>
            </w:r>
          </w:p>
        </w:tc>
      </w:tr>
    </w:tbl>
    <w:p w14:paraId="3C0019C0" w14:textId="77777777" w:rsidR="00000000" w:rsidRDefault="00EA33B8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7AE"/>
    <w:rsid w:val="00EA33B8"/>
    <w:rsid w:val="00FD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5C28"/>
  <w15:docId w15:val="{45422662-ABD2-4571-B9E3-1332A4A1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365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2026-10-02T10:16:00Z</dcterms:created>
  <dcterms:modified xsi:type="dcterms:W3CDTF">2026-10-02T10:16:00Z</dcterms:modified>
</cp:coreProperties>
</file>