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Arial"/>
          <w:b/>
          <w:color w:val="F7A600"/>
          <w:sz w:val="20"/>
        </w:rPr>
        <w:t>PRODUCT · BUSINESS RULES · DATA FLOW · ACCEPTANCE</w:t>
      </w:r>
    </w:p>
    <w:p>
      <w:pPr>
        <w:spacing w:before="400" w:after="240"/>
        <w:jc w:val="center"/>
      </w:pPr>
      <w:r>
        <w:rPr>
          <w:rFonts w:ascii="Microsoft YaHei" w:hAnsi="Microsoft YaHei" w:eastAsia="Microsoft YaHei"/>
          <w:b/>
          <w:color w:val="171B26"/>
          <w:sz w:val="56"/>
        </w:rPr>
        <w:t>DC SaaS 加密货币</w:t>
        <w:br/>
        <w:t>多租户控制面</w:t>
      </w:r>
    </w:p>
    <w:p>
      <w:pPr>
        <w:jc w:val="center"/>
      </w:pPr>
      <w:r>
        <w:rPr>
          <w:rFonts w:ascii="Microsoft YaHei" w:hAnsi="Microsoft YaHei" w:eastAsia="Microsoft YaHei"/>
          <w:color w:val="667085"/>
          <w:sz w:val="28"/>
        </w:rPr>
        <w:t>业务能力、租户边界、数据流与生产验收报告</w:t>
      </w:r>
    </w:p>
    <w:p/>
    <w:p>
      <w:pPr>
        <w:jc w:val="center"/>
      </w:pPr>
      <w:r>
        <w:rPr>
          <w:rFonts w:ascii="Arial" w:hAnsi="Arial" w:eastAsia="Arial"/>
          <w:color w:val="F7A600"/>
          <w:sz w:val="24"/>
        </w:rPr>
        <w:t>━━━━━━━━━━━━━━━━━━━━━━━━━━━━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color w:val="171B26"/>
          <w:sz w:val="22"/>
        </w:rPr>
        <w:t>版本：V1.0</w:t>
        <w:br/>
        <w:t>基线：2026-08-30</w:t>
        <w:br/>
        <w:t>分支：saas-crypto</w:t>
        <w:br/>
        <w:t>验收环境：18.140.45.126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在 Word 中右键此处并选择“更新域”以刷新目录。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1. 验收结论</w:t>
      </w:r>
    </w:p>
    <w:p>
      <w:r>
        <w:rPr>
          <w:rFonts w:ascii="Microsoft YaHei" w:hAnsi="Microsoft YaHei" w:eastAsia="Microsoft YaHei"/>
          <w:sz w:val="21"/>
        </w:rPr>
        <w:t>多租户第一阶段已经完成生产环境端到端验收。系统能够从公开试用申请开始，经平台运营审批自动初始化租户，再由租户用户通过独立 location URL 注册、登录和交易；租户管理员能够管理本租户用户、品种、API Key、流动性 Robot 配置、交易记录、设置和审计。</w:t>
      </w:r>
    </w:p>
    <w:p>
      <w:r>
        <w:rPr>
          <w:rFonts w:ascii="Microsoft YaHei" w:hAnsi="Microsoft YaHei" w:eastAsia="Microsoft YaHei"/>
          <w:sz w:val="21"/>
        </w:rPr>
        <w:t>最终双租户回归使用</w:t>
      </w:r>
      <w:r>
        <w:rPr>
          <w:rFonts w:ascii="Consolas" w:hAnsi="Consolas" w:eastAsia="Consolas"/>
          <w:color w:val="171B26"/>
          <w:sz w:val="19"/>
        </w:rPr>
        <w:t>SAASA_E2E_0830160159</w:t>
      </w:r>
      <w:r>
        <w:rPr>
          <w:rFonts w:ascii="Microsoft YaHei" w:hAnsi="Microsoft YaHei" w:eastAsia="Microsoft YaHei"/>
          <w:sz w:val="21"/>
        </w:rPr>
        <w:t>与</w:t>
      </w:r>
      <w:r>
        <w:rPr>
          <w:rFonts w:ascii="Consolas" w:hAnsi="Consolas" w:eastAsia="Consolas"/>
          <w:color w:val="171B26"/>
          <w:sz w:val="19"/>
        </w:rPr>
        <w:t>SAASB_E2E_0830160159</w:t>
      </w:r>
      <w:r>
        <w:rPr>
          <w:rFonts w:ascii="Microsoft YaHei" w:hAnsi="Microsoft YaHei" w:eastAsia="Microsoft YaHei"/>
          <w:sz w:val="21"/>
        </w:rPr>
        <w:t>。同名用户在两个租户得到不同 user_id，错租户密码、跨租户管理、普通用户审批和交易用户管理访问全部被拒绝。暂停租户后普通用户不能登录，恢复 ACTIVE 后重新开放。</w:t>
      </w:r>
    </w:p>
    <w:p>
      <w:r>
        <w:rPr>
          <w:rFonts w:ascii="Microsoft YaHei" w:hAnsi="Microsoft YaHei" w:eastAsia="Microsoft YaHei"/>
          <w:sz w:val="21"/>
        </w:rPr>
        <w:t>本结论代表控制面已具备产品验收条件，不代表真实资金生产就绪。交易服务跨 location 的请求、Topic、缓存、锁和重放攻击测试仍需继续收口；真实资金上线还需要账本、多源指数、安全合规、高可用和灾备门禁。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2. 已交付业务能力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2.1 公开申请与平台审批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申请人填写企业/团队、租户代码、联系人、邮箱、预计用户数、试用天数、交易品种和使用场景。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系统返回申请 ID；申请人可用申请 ID 和邮箱查询状态。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PLATFORM 运营账号审核申请，普通租户用户没有审批权限。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审批事务初始化 location、试用周期、独立 URL、租户管理员、默认账户、品种和交易配置。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相同请求凭证重复提交不会重复创建租户。</w:t>
      </w:r>
    </w:p>
    <w:p>
      <w:r>
        <w:rPr>
          <w:rFonts w:ascii="Microsoft YaHei" w:hAnsi="Microsoft YaHei" w:eastAsia="Microsoft YaHei"/>
          <w:sz w:val="21"/>
        </w:rPr>
        <w:t>当前独立入口格式：</w:t>
      </w:r>
    </w:p>
    <w:p>
      <w:pPr>
        <w:pStyle w:val="CodeBlock"/>
        <w:keepLines/>
      </w:pPr>
      <w:r>
        <w:rPr>
          <w:rFonts w:ascii="Consolas" w:hAnsi="Consolas" w:eastAsia="Consolas"/>
          <w:color w:val="171B26"/>
          <w:sz w:val="17"/>
        </w:rPr>
        <w:t>http://18.140.45.126:18088/#/login?location={LOCATION}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2.2 租户生命周期</w:t>
      </w:r>
    </w:p>
    <w:p>
      <w:r>
        <w:rPr>
          <w:rFonts w:ascii="Microsoft YaHei" w:hAnsi="Microsoft YaHei" w:eastAsia="Microsoft YaHei"/>
          <w:sz w:val="21"/>
        </w:rPr>
        <w:t>状态覆盖</w:t>
      </w:r>
      <w:r>
        <w:rPr>
          <w:rFonts w:ascii="Consolas" w:hAnsi="Consolas" w:eastAsia="Consolas"/>
          <w:color w:val="171B26"/>
          <w:sz w:val="19"/>
        </w:rPr>
        <w:t>TRIAL / ACTIVE / SUSPENDED / EXPIRED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TRIAL/ACTIVE：在注册和交易开关允许时可注册、登录和交易。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SUSPENDED/EXPIRED：普通用户注册、登录和交易入口被服务端拒绝。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恢复 ACTIVE：重新开放登录与交易，历史数据和审计不删除。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2.3 租户用户与权限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用户名只需在当前 location 内唯一；不同租户允许同名。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 ID、密码、账户、订单、持仓、资金和管理权限按 location 隔离。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租户管理员可以创建、启停本租户用户并重置初始密码。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交易用户不能访问租户管理接口；租户管理员不能读取或修改另一 location。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PLATFORM 审批接口只接受平台运营身份。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2.4 租户管理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品种：交易状态、价格/数量精度、最小/最大数量、最小名义金额、价格上限、手续费、资金费周期和风险档位。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API Key：创建、列表和撤销；Secret 只显示一次。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Robot：租户 API Key、报价档位、价差、数量、库存上限、外部对冲和熔断参数。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交易记录：按认证 location 查询订单、成交和交易数据。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设置：注册/交易开关、默认语言和品牌参数。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审计：用户、品种、API Key、Robot 和设置变更均写入租户审计。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3. 服务与数据流</w:t>
      </w:r>
    </w:p>
    <w:p>
      <w:pPr>
        <w:pStyle w:val="CodeBlock"/>
        <w:keepLines/>
      </w:pPr>
      <w:r>
        <w:rPr>
          <w:rFonts w:ascii="Consolas" w:hAnsi="Consolas" w:eastAsia="Consolas"/>
          <w:color w:val="171B26"/>
          <w:sz w:val="17"/>
        </w:rPr>
        <w:t>公开申请页</w:t>
        <w:br/>
        <w:t xml:space="preserve">  -&gt; GW -&gt; ManagerSvr -&gt; MySQL(申请)</w:t>
        <w:br/>
        <w:t xml:space="preserve">  -&gt; PLATFORM 审批</w:t>
        <w:br/>
        <w:t xml:space="preserve">  -&gt; MySQL(location/管理员/账户/品种/设置/审计)</w:t>
        <w:br/>
        <w:t xml:space="preserve">  -&gt; 返回 location 独立 URL</w:t>
        <w:br/>
        <w:br/>
        <w:t>租户注册/登录</w:t>
        <w:br/>
        <w:t xml:space="preserve">  -&gt; GW -&gt; LoginSvr</w:t>
        <w:br/>
        <w:t xml:space="preserve">  -&gt; 校验租户状态、注册/交易开关和 location</w:t>
        <w:br/>
        <w:t xml:space="preserve">  -&gt; 创建/读取 location 内用户与会话</w:t>
        <w:br/>
        <w:br/>
        <w:t>租户管理 Web</w:t>
        <w:br/>
        <w:t xml:space="preserve">  -&gt; GW -&gt; AdminSvr</w:t>
        <w:br/>
        <w:t xml:space="preserve">  -&gt; 从认证会话取得权威 location</w:t>
        <w:br/>
        <w:t xml:space="preserve">  -&gt; 用户/品种/API Key/Robot/交易记录/设置/审计</w:t>
        <w:br/>
        <w:t xml:space="preserve">  -&gt; MySQL(所有查询和写入限定 location)</w:t>
        <w:br/>
        <w:br/>
        <w:t>租户交易 Web</w:t>
        <w:br/>
        <w:t xml:space="preserve">  -&gt; GW -&gt; OrderSvr/TradeSvr/MDSvr/LiqSvr</w:t>
        <w:br/>
        <w:t xml:space="preserve">  -&gt; location 独立订单、资金、持仓、强平与订单簿行情</w:t>
      </w:r>
    </w:p>
    <w:p>
      <w:r>
        <w:rPr>
          <w:rFonts w:ascii="Microsoft YaHei" w:hAnsi="Microsoft YaHei" w:eastAsia="Microsoft YaHei"/>
          <w:sz w:val="21"/>
        </w:rPr>
        <w:t>GW 当前继续作为通用路由和 Topic 转发层，不硬编码 SaaS。订阅由目标服务 snapshot 校验；校验失败不返回订阅确认，GW 不把 Topic 加入订阅列表。后续可增加可选 SaaS 前置插件，但不能破坏 GW 在非多租户系统中的独立性。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4. 自动化测试矩阵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预期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公开提交 A/B 两个申请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返回不同申请 ID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PLATFORM 审批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创建不同 location、URL 和管理员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非 PLATFORM 审批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拒绝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A/B 租户注册同名用户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user_id 不同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 用户使用 B 密码或错误 location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登录拒绝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 管理员读取 B 数据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拒绝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交易用户访问租户管理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拒绝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用户创建、启停、密码管理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仅本租户生效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品种列表与 UPSERT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规则正确持久化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交易记录、设置和审计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仅返回本租户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暂停 A 租户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普通用户登录拒绝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恢复 A 租户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普通用户重新登录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桌面申请/平台/租户管理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页面与接口完成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390×844 注册/租户管理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响应式可操作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AdminSvr 单元测试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13/13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ManagerSvr 单元测试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7/7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LoginSvr 单元测试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5/5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 Web 生产构建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构建成功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生产自动化产物：</w:t>
      </w:r>
      <w:r>
        <w:rPr>
          <w:rFonts w:ascii="Consolas" w:hAnsi="Consolas" w:eastAsia="Consolas"/>
          <w:color w:val="171B26"/>
          <w:sz w:val="19"/>
        </w:rPr>
        <w:t>/data/dc-saas-runtime/e2e-artifacts/tenant-0830160159</w:t>
      </w:r>
      <w:r>
        <w:rPr>
          <w:rFonts w:ascii="Microsoft YaHei" w:hAnsi="Microsoft YaHei" w:eastAsia="Microsoft YaHei"/>
          <w:sz w:val="21"/>
        </w:rPr>
        <w:t>。测试租户作为审计证据保留，没有执行数据删除。</w:t>
      </w:r>
    </w:p>
    <w:p>
      <w:r>
        <w:rPr>
          <w:rFonts w:ascii="Microsoft YaHei" w:hAnsi="Microsoft YaHei" w:eastAsia="Microsoft YaHei"/>
          <w:sz w:val="21"/>
        </w:rPr>
        <w:t>最终只读数据库复核结果：</w:t>
      </w:r>
    </w:p>
    <w:p>
      <w:pPr>
        <w:pStyle w:val="CodeBlock"/>
        <w:keepLines/>
      </w:pPr>
      <w:r>
        <w:rPr>
          <w:rFonts w:ascii="Consolas" w:hAnsi="Consolas" w:eastAsia="Consolas"/>
          <w:color w:val="171B26"/>
          <w:sz w:val="17"/>
        </w:rPr>
        <w:t>tenant=SAASA_E2E_0830160159,status=ACTIVE,register=1,trade=1</w:t>
        <w:br/>
        <w:t>tenant=SAASB_E2E_0830160159,status=TRIAL,register=1,trade=1</w:t>
        <w:br/>
        <w:t>shared_users=2,distinct_ids=2</w:t>
        <w:br/>
        <w:t>balances=2</w:t>
        <w:br/>
        <w:t>symbols=2</w:t>
        <w:br/>
        <w:t>audits=7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5. 真实环境缺陷与修复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历史</w:t>
      </w:r>
      <w:r>
        <w:rPr>
          <w:rFonts w:ascii="Consolas" w:hAnsi="Consolas" w:eastAsia="Consolas"/>
          <w:color w:val="171B26"/>
          <w:sz w:val="19"/>
        </w:rPr>
        <w:t>dc_symbol</w:t>
      </w:r>
      <w:r>
        <w:rPr>
          <w:rFonts w:ascii="Microsoft YaHei" w:hAnsi="Microsoft YaHei" w:eastAsia="Microsoft YaHei"/>
          <w:sz w:val="21"/>
        </w:rPr>
        <w:t>数字规则字段存在空字符串，复制到新租户 DECIMAL 列时审批失败。ManagerSvr 和 AdminSvr 已统一用</w:t>
      </w:r>
      <w:r>
        <w:rPr>
          <w:rFonts w:ascii="Consolas" w:hAnsi="Consolas" w:eastAsia="Consolas"/>
          <w:color w:val="171B26"/>
          <w:sz w:val="19"/>
        </w:rPr>
        <w:t>TRIM / NULLIF / CAST</w:t>
      </w:r>
      <w:r>
        <w:rPr>
          <w:rFonts w:ascii="Microsoft YaHei" w:hAnsi="Microsoft YaHei" w:eastAsia="Microsoft YaHei"/>
          <w:sz w:val="21"/>
        </w:rPr>
        <w:t>规范化旧数据，并重新完成审批和品种 UPSERT。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部署预检原来把“总内存要求”错误用于“当前可用内存”，运行 SaaS 与量化容器时会阻断安全增量更新。现拆分为总内存至少 7.5 GiB、当前可用内存至少 2 GiB。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浏览器登录成功后路由跳转与响应读取存在自动化竞态。验收脚本改为先捕获登录响应，再断言浏览器会话和目标路由，最终连续通过。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租户表单、暗色表格和移动端标签布局经真实截图复核后完成样式修正，并以不可变公开镜像发布。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6. 部署基线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Trade Web 源码：</w:t>
      </w:r>
      <w:r>
        <w:rPr>
          <w:rFonts w:ascii="Consolas" w:hAnsi="Consolas" w:eastAsia="Consolas"/>
          <w:color w:val="171B26"/>
          <w:sz w:val="19"/>
        </w:rPr>
        <w:t>97b3afe88928fe0c6b26a8564d88ae5168556dba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Trade Web 镜像：</w:t>
      </w:r>
      <w:r>
        <w:rPr>
          <w:rFonts w:ascii="Consolas" w:hAnsi="Consolas" w:eastAsia="Consolas"/>
          <w:color w:val="171B26"/>
          <w:sz w:val="19"/>
        </w:rPr>
        <w:t>ghcr.io/bliplink/dc-saas-trade-web:source-97b3afe88928fe0c6b26a8564d88ae5168556dba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ManagerSvr 租户规则修复：</w:t>
      </w:r>
      <w:r>
        <w:rPr>
          <w:rFonts w:ascii="Consolas" w:hAnsi="Consolas" w:eastAsia="Consolas"/>
          <w:color w:val="171B26"/>
          <w:sz w:val="19"/>
        </w:rPr>
        <w:t>7e0a7a3bbad8a48bdb7c8dd13a0631efee67f228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AdminSvr 租户规则修复：</w:t>
      </w:r>
      <w:r>
        <w:rPr>
          <w:rFonts w:ascii="Consolas" w:hAnsi="Consolas" w:eastAsia="Consolas"/>
          <w:color w:val="171B26"/>
          <w:sz w:val="19"/>
        </w:rPr>
        <w:t>c2119abbf065506b6fcac2de2f32d05ba3cf2e0c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自动更新只重建镜像发生变化的服务；Web 增量发布没有重启 OrderSvr、TradeSvr、MDSvr 或 LiqSvr。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7. 生产截图证据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application-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图：公开 SaaS 试用申请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349657" cy="7498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registration-mobile-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9657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图：390×844 租户内注册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65392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tenant-operations-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539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图：平台租户运营与生命周期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93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administration-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9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图：租户管理员桌面控制台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456561" cy="74980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administration-mobile-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6561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图：390×844 租户管理员控制台</w:t>
      </w:r>
    </w:p>
    <w:p>
      <w:r>
        <w:rPr>
          <w:rFonts w:ascii="Microsoft YaHei" w:hAnsi="Microsoft YaHei" w:eastAsia="Microsoft YaHei"/>
          <w:sz w:val="21"/>
        </w:rPr>
        <w:t>数据库与容器证据见主产品验收文档中的</w:t>
      </w:r>
      <w:r>
        <w:rPr>
          <w:rFonts w:ascii="Consolas" w:hAnsi="Consolas" w:eastAsia="Consolas"/>
          <w:color w:val="171B26"/>
          <w:sz w:val="19"/>
        </w:rPr>
        <w:t>evidence/database-evidence.png</w:t>
      </w:r>
      <w:r>
        <w:rPr>
          <w:rFonts w:ascii="Microsoft YaHei" w:hAnsi="Microsoft YaHei" w:eastAsia="Microsoft YaHei"/>
          <w:sz w:val="21"/>
        </w:rPr>
        <w:t>；该图和上述图片均采集自生产验证环境，不是设计稿。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8. 下一阶段门禁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完成 OrderSvr、TradeSvr、MDSvr、LiqSvr 的跨 location 请求、订阅、缓存、锁、重放和数据库攻击测试。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部署 RobotSvr，验收 APSSvr 行情、租户 API Key 报单、库存风控、熔断和外部反向对冲。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增加自定义域名/证书、套餐配额、2FA、平台/租户 RBAC、导出审批和用量计费。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交易金融正确性继续完成事务 outbox、不可变复式账本、多源指数、完整账户模式和持续对账。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真实资金上线前完成钱包、安全合规、限流、私有流、高可用、PITR、混沌与灾备演练。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7"/>
      </w:rPr>
      <w:t>DC SaaS 加密货币永续合约系统｜产品与验收说明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1B2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F7A6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5" w:right="142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 SaaS 加密货币永续合约系统产品与验收说明</dc:title>
  <dc:subject>业务规则、数据流、测试与截图证据</dc:subject>
  <dc:creator>DC SaaS Crypto 项目组</dc:creator>
  <cp:keywords>SaaS, 永续合约, 撮合, 强平, ADL, 多租户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