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left="0"/>
      </w:pPr>
      <w:r>
        <w:rPr>
          <w:rFonts w:eastAsia="MS Mincho" w:ascii="Times New Roman" w:hAnsi="Times New Roman"/>
          <w:b/>
          <w:sz w:val="24"/>
          <w:u w:val="none"/>
        </w:rPr>
        <w:t>２年受験コース　コミュⅡ　１学期期末試験　出題範囲</w:t>
      </w:r>
    </w:p>
    <w:p>
      <w:pPr>
        <w:spacing w:before="80" w:after="40"/>
        <w:ind w:left="0"/>
      </w:pPr>
      <w:r>
        <w:rPr>
          <w:rFonts w:eastAsia="MS Mincho" w:ascii="Times New Roman" w:hAnsi="Times New Roman"/>
          <w:b w:val="0"/>
          <w:sz w:val="21"/>
          <w:u w:val="single"/>
        </w:rPr>
        <w:t>出題テキスト</w:t>
      </w:r>
    </w:p>
    <w:p>
      <w:pPr>
        <w:spacing w:before="0" w:after="0"/>
        <w:ind w:left="0"/>
      </w:pPr>
      <w:r>
        <w:rPr>
          <w:rFonts w:eastAsia="MS Mincho" w:ascii="Times New Roman" w:hAnsi="Times New Roman"/>
          <w:b w:val="0"/>
          <w:sz w:val="21"/>
          <w:u w:val="none"/>
        </w:rPr>
        <w:t>・Heartening Ⅱ L3,4：　教科書本文/ワークブック</w:t>
      </w:r>
    </w:p>
    <w:p>
      <w:pPr>
        <w:spacing w:before="0" w:after="0"/>
        <w:ind w:left="0"/>
      </w:pPr>
      <w:r>
        <w:rPr>
          <w:rFonts w:eastAsia="MS Mincho" w:ascii="Times New Roman" w:hAnsi="Times New Roman"/>
          <w:b w:val="0"/>
          <w:sz w:val="21"/>
          <w:u w:val="none"/>
        </w:rPr>
        <w:t>・入門英文問題精講（入門）：</w:t>
      </w:r>
    </w:p>
    <w:p>
      <w:pPr>
        <w:spacing w:before="0" w:after="0"/>
        <w:ind w:left="0"/>
      </w:pPr>
      <w:r>
        <w:rPr>
          <w:rFonts w:eastAsia="MS Mincho" w:ascii="Times New Roman" w:hAnsi="Times New Roman"/>
          <w:b w:val="0"/>
          <w:sz w:val="21"/>
          <w:u w:val="none"/>
        </w:rPr>
        <w:t xml:space="preserve">　　授業で扱ったもの（問題番号　33,34,37,38,41,42）</w:t>
      </w:r>
    </w:p>
    <w:p>
      <w:pPr>
        <w:spacing w:before="0" w:after="0"/>
        <w:ind w:left="0"/>
      </w:pPr>
      <w:r>
        <w:rPr>
          <w:rFonts w:eastAsia="MS Mincho" w:ascii="Times New Roman" w:hAnsi="Times New Roman"/>
          <w:b w:val="0"/>
          <w:sz w:val="21"/>
          <w:u w:val="none"/>
        </w:rPr>
        <w:t>・Neo現代 Unit2</w:t>
      </w:r>
    </w:p>
    <w:p>
      <w:pPr>
        <w:spacing w:before="0" w:after="0"/>
        <w:ind w:left="0"/>
      </w:pPr>
      <w:r>
        <w:rPr>
          <w:rFonts w:eastAsia="MS Mincho" w:ascii="Times New Roman" w:hAnsi="Times New Roman"/>
          <w:b w:val="0"/>
          <w:sz w:val="21"/>
          <w:u w:val="none"/>
        </w:rPr>
        <w:t>・Unit 2（授業で扱った長文）</w:t>
      </w:r>
    </w:p>
    <w:p>
      <w:pPr>
        <w:spacing w:before="200" w:after="40"/>
        <w:ind w:left="0"/>
      </w:pPr>
      <w:r>
        <w:rPr>
          <w:rFonts w:eastAsia="MS Mincho" w:ascii="Times New Roman" w:hAnsi="Times New Roman"/>
          <w:b w:val="0"/>
          <w:sz w:val="21"/>
          <w:u w:val="single"/>
        </w:rPr>
        <w:t>出題内容・配点（予定）</w:t>
      </w:r>
      <w:r>
        <w:rPr>
          <w:rFonts w:eastAsia="MS Mincho" w:ascii="Times New Roman" w:hAnsi="Times New Roman"/>
          <w:b w:val="0"/>
          <w:sz w:val="21"/>
          <w:u w:val="none"/>
        </w:rPr>
        <w:t xml:space="preserve">　テストは９０点満点</w:t>
      </w:r>
    </w:p>
    <w:p>
      <w:pPr>
        <w:spacing w:before="0" w:after="0"/>
        <w:ind w:left="0"/>
      </w:pPr>
      <w:r>
        <w:rPr>
          <w:rFonts w:eastAsia="MS Mincho" w:ascii="Times New Roman" w:hAnsi="Times New Roman"/>
          <w:b/>
          <w:sz w:val="21"/>
          <w:u w:val="none"/>
        </w:rPr>
        <w:t>ワークブック　１０点：</w:t>
      </w:r>
      <w:r>
        <w:rPr>
          <w:rFonts w:eastAsia="MS Mincho" w:ascii="Times New Roman" w:hAnsi="Times New Roman"/>
          <w:b w:val="0"/>
          <w:sz w:val="21"/>
          <w:u w:val="none"/>
        </w:rPr>
        <w:t xml:space="preserve">　穴埋め問題</w:t>
      </w:r>
    </w:p>
    <w:p>
      <w:pPr>
        <w:spacing w:before="0" w:after="0"/>
        <w:ind w:left="0"/>
      </w:pPr>
      <w:r>
        <w:rPr>
          <w:rFonts w:eastAsia="MS Mincho" w:ascii="Times New Roman" w:hAnsi="Times New Roman"/>
          <w:b/>
          <w:sz w:val="21"/>
          <w:u w:val="none"/>
        </w:rPr>
        <w:t>HearteningⅡ　２０点：</w:t>
      </w:r>
      <w:r>
        <w:rPr>
          <w:rFonts w:eastAsia="MS Mincho" w:ascii="Times New Roman" w:hAnsi="Times New Roman"/>
          <w:b w:val="0"/>
          <w:sz w:val="21"/>
          <w:u w:val="none"/>
        </w:rPr>
        <w:t xml:space="preserve">　※どこにあったの問題など</w:t>
      </w:r>
    </w:p>
    <w:p>
      <w:pPr>
        <w:spacing w:before="0" w:after="0"/>
        <w:ind w:left="0"/>
      </w:pPr>
      <w:r>
        <w:rPr>
          <w:rFonts w:eastAsia="MS Mincho" w:ascii="Times New Roman" w:hAnsi="Times New Roman"/>
          <w:b/>
          <w:sz w:val="21"/>
          <w:u w:val="none"/>
        </w:rPr>
        <w:t>入門　　　　　１６点：</w:t>
      </w:r>
      <w:r>
        <w:rPr>
          <w:rFonts w:eastAsia="MS Mincho" w:ascii="Times New Roman" w:hAnsi="Times New Roman"/>
          <w:b w:val="0"/>
          <w:sz w:val="21"/>
          <w:u w:val="none"/>
        </w:rPr>
        <w:t xml:space="preserve">　与えられた文に記号を振り構造を示す。それに基づいた日本語訳をする。</w:t>
        <w:br/>
        <w:t xml:space="preserve">　　　　　　　　　　（＜名詞句・節＞, [形容詞句・節], (副詞句・節)。SVOCM）</w:t>
      </w:r>
    </w:p>
    <w:p>
      <w:pPr>
        <w:spacing w:before="0" w:after="0"/>
        <w:ind w:left="0"/>
      </w:pPr>
      <w:r>
        <w:rPr>
          <w:rFonts w:eastAsia="MS Mincho" w:ascii="Times New Roman" w:hAnsi="Times New Roman"/>
          <w:b/>
          <w:sz w:val="21"/>
          <w:u w:val="none"/>
        </w:rPr>
        <w:t>Neo現代　　　１０点：</w:t>
      </w:r>
      <w:r>
        <w:rPr>
          <w:rFonts w:eastAsia="MS Mincho" w:ascii="Times New Roman" w:hAnsi="Times New Roman"/>
          <w:b w:val="0"/>
          <w:sz w:val="21"/>
          <w:u w:val="none"/>
        </w:rPr>
        <w:t xml:space="preserve">　並び替え問題</w:t>
      </w:r>
    </w:p>
    <w:p>
      <w:pPr>
        <w:spacing w:before="0" w:after="0"/>
        <w:ind w:left="0"/>
      </w:pPr>
      <w:r>
        <w:rPr>
          <w:rFonts w:eastAsia="MS Mincho" w:ascii="Times New Roman" w:hAnsi="Times New Roman"/>
          <w:b/>
          <w:sz w:val="21"/>
          <w:u w:val="none"/>
        </w:rPr>
        <w:t>Unit 2　　　　１０点：</w:t>
      </w:r>
      <w:r>
        <w:rPr>
          <w:rFonts w:eastAsia="MS Mincho" w:ascii="Times New Roman" w:hAnsi="Times New Roman"/>
          <w:b w:val="0"/>
          <w:sz w:val="21"/>
          <w:u w:val="none"/>
        </w:rPr>
        <w:t xml:space="preserve">　本文の穴埋め問題（※Unit 2未着手のため要確認）</w:t>
      </w:r>
    </w:p>
    <w:p>
      <w:pPr>
        <w:spacing w:before="0" w:after="0"/>
        <w:ind w:left="0"/>
      </w:pPr>
      <w:r>
        <w:rPr>
          <w:rFonts w:eastAsia="MS Mincho" w:ascii="Times New Roman" w:hAnsi="Times New Roman"/>
          <w:b/>
          <w:sz w:val="21"/>
          <w:u w:val="none"/>
        </w:rPr>
        <w:t>初見問題　　　１５点：</w:t>
      </w:r>
      <w:r>
        <w:rPr>
          <w:rFonts w:eastAsia="MS Mincho" w:ascii="Times New Roman" w:hAnsi="Times New Roman"/>
          <w:b w:val="0"/>
          <w:sz w:val="21"/>
          <w:u w:val="none"/>
        </w:rPr>
        <w:t xml:space="preserve">　英検２級レベル　リーディング</w:t>
      </w:r>
    </w:p>
    <w:p>
      <w:pPr>
        <w:spacing w:before="200" w:after="40"/>
        <w:ind w:left="0"/>
      </w:pPr>
      <w:r>
        <w:rPr>
          <w:rFonts w:eastAsia="MS Mincho" w:ascii="Times New Roman" w:hAnsi="Times New Roman"/>
          <w:b w:val="0"/>
          <w:sz w:val="21"/>
          <w:u w:val="single"/>
        </w:rPr>
        <w:t>勉強の仕方</w:t>
      </w:r>
    </w:p>
    <w:p>
      <w:pPr>
        <w:spacing w:before="40" w:after="40"/>
        <w:ind w:left="0"/>
      </w:pPr>
      <w:r>
        <w:rPr>
          <w:rFonts w:eastAsia="MS Mincho" w:ascii="Times New Roman" w:hAnsi="Times New Roman"/>
          <w:b w:val="0"/>
          <w:sz w:val="21"/>
          <w:u w:val="none"/>
        </w:rPr>
        <w:t>君たちにやってほしいことは、扱った英文の完全な理解と音読による定着です。</w:t>
        <w:br/>
        <w:t>それができているかを確認するテストにします。音読がんばって！！</w:t>
      </w:r>
    </w:p>
    <w:p>
      <w:pPr>
        <w:spacing w:before="200" w:after="40"/>
        <w:ind w:left="0"/>
      </w:pPr>
      <w:r>
        <w:rPr>
          <w:rFonts w:eastAsia="MS Mincho" w:ascii="Times New Roman" w:hAnsi="Times New Roman"/>
          <w:b w:val="0"/>
          <w:sz w:val="20"/>
          <w:u w:val="none"/>
        </w:rPr>
        <w:t>※どこにあったの問題の例</w:t>
      </w:r>
    </w:p>
    <w:p>
      <w:pPr>
        <w:spacing w:before="0" w:after="40"/>
        <w:ind w:left="0"/>
      </w:pPr>
      <w:r>
        <w:rPr>
          <w:rFonts w:eastAsia="MS Mincho" w:ascii="Times New Roman" w:hAnsi="Times New Roman"/>
          <w:b w:val="0"/>
          <w:sz w:val="20"/>
          <w:u w:val="none"/>
        </w:rPr>
        <w:t>問　この英文中には下の６つの語句が抜けている。本来入るべき場所を指摘しなさい。</w:t>
        <w:br/>
        <w:t xml:space="preserve">　　解答欄には，それぞれの語句が入る場所の前後の単語を書きなさい（１つ目のみ，例として解答を示す）。</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pPr>
              <w:jc w:val="center"/>
            </w:pPr>
            <w:r>
              <w:rPr>
                <w:rFonts w:eastAsia="MS Mincho" w:ascii="Times New Roman" w:hAnsi="Times New Roman"/>
                <w:b w:val="0"/>
                <w:sz w:val="20"/>
                <w:u w:val="none"/>
              </w:rPr>
              <w:t>0. once</w:t>
            </w:r>
          </w:p>
        </w:tc>
        <w:tc>
          <w:tcPr>
            <w:tcW w:type="dxa" w:w="1417"/>
          </w:tcPr>
          <w:p>
            <w:pPr>
              <w:jc w:val="center"/>
            </w:pPr>
            <w:r>
              <w:rPr>
                <w:rFonts w:eastAsia="MS Mincho" w:ascii="Times New Roman" w:hAnsi="Times New Roman"/>
                <w:b w:val="0"/>
                <w:sz w:val="20"/>
                <w:u w:val="none"/>
              </w:rPr>
              <w:t>1. so that</w:t>
            </w:r>
          </w:p>
        </w:tc>
        <w:tc>
          <w:tcPr>
            <w:tcW w:type="dxa" w:w="1417"/>
          </w:tcPr>
          <w:p>
            <w:pPr>
              <w:jc w:val="center"/>
            </w:pPr>
            <w:r>
              <w:rPr>
                <w:rFonts w:eastAsia="MS Mincho" w:ascii="Times New Roman" w:hAnsi="Times New Roman"/>
                <w:b w:val="0"/>
                <w:sz w:val="20"/>
                <w:u w:val="none"/>
              </w:rPr>
              <w:t>2. such as</w:t>
            </w:r>
          </w:p>
        </w:tc>
        <w:tc>
          <w:tcPr>
            <w:tcW w:type="dxa" w:w="1417"/>
          </w:tcPr>
          <w:p>
            <w:pPr>
              <w:jc w:val="center"/>
            </w:pPr>
            <w:r>
              <w:rPr>
                <w:rFonts w:eastAsia="MS Mincho" w:ascii="Times New Roman" w:hAnsi="Times New Roman"/>
                <w:b w:val="0"/>
                <w:sz w:val="20"/>
                <w:u w:val="none"/>
              </w:rPr>
              <w:t>3. quicker</w:t>
            </w:r>
          </w:p>
        </w:tc>
        <w:tc>
          <w:tcPr>
            <w:tcW w:type="dxa" w:w="1417"/>
          </w:tcPr>
          <w:p>
            <w:pPr>
              <w:jc w:val="center"/>
            </w:pPr>
            <w:r>
              <w:rPr>
                <w:rFonts w:eastAsia="MS Mincho" w:ascii="Times New Roman" w:hAnsi="Times New Roman"/>
                <w:b w:val="0"/>
                <w:sz w:val="20"/>
                <w:u w:val="none"/>
              </w:rPr>
              <w:t>4. instead of</w:t>
            </w:r>
          </w:p>
        </w:tc>
        <w:tc>
          <w:tcPr>
            <w:tcW w:type="dxa" w:w="1417"/>
          </w:tcPr>
          <w:p>
            <w:pPr>
              <w:jc w:val="center"/>
            </w:pPr>
            <w:r>
              <w:rPr>
                <w:rFonts w:eastAsia="MS Mincho" w:ascii="Times New Roman" w:hAnsi="Times New Roman"/>
                <w:b w:val="0"/>
                <w:sz w:val="20"/>
                <w:u w:val="none"/>
              </w:rPr>
              <w:t>5. well</w:t>
            </w:r>
          </w:p>
        </w:tc>
      </w:tr>
    </w:tbl>
    <w:p/>
    <w:p>
      <w:pPr>
        <w:spacing w:before="0" w:after="0"/>
        <w:ind w:left="170"/>
        <w:jc w:val="both"/>
      </w:pPr>
      <w:r>
        <w:rPr>
          <w:rFonts w:eastAsia="MS Mincho" w:ascii="Times New Roman" w:hAnsi="Times New Roman"/>
          <w:b w:val="0"/>
          <w:sz w:val="20"/>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driving.</w:t>
      </w:r>
    </w:p>
    <w:p>
      <w:pPr>
        <w:spacing w:before="0" w:after="80"/>
        <w:ind w:left="170"/>
        <w:jc w:val="both"/>
      </w:pPr>
      <w:r>
        <w:rPr>
          <w:rFonts w:eastAsia="MS Mincho" w:ascii="Times New Roman" w:hAnsi="Times New Roman"/>
          <w:b w:val="0"/>
          <w:sz w:val="20"/>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from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0" w:after="0"/>
        <w:ind w:left="0"/>
      </w:pPr>
      <w:r>
        <w:rPr>
          <w:rFonts w:eastAsia="MS Mincho" w:ascii="Times New Roman" w:hAnsi="Times New Roman"/>
          <w:b w:val="0"/>
          <w:sz w:val="20"/>
          <w:u w:val="none"/>
        </w:rPr>
        <w:t>1. （ planners ） once （ used ）　　　　2. （　　　　） so that （　　　　）</w:t>
        <w:br/>
        <w:t>3. （　　　　） such as （　　　　）　　4. （　　　　） quicker （　　　　）</w:t>
        <w:br/>
        <w:t>5. （　　　　） instead of （　　　　）　6. （　　　　） well （　　　　）</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