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commute</w:t>
            </w: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crisis</w:t>
            </w: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must have left</w:t>
            </w: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greenhouse</w:t>
            </w: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nuance</w:t>
            </w: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rush</w:t>
            </w: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goes without</w:t>
            </w: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facial</w:t>
            </w: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r>
              <w:rPr>
                <w:rFonts w:eastAsia="MS Mincho" w:ascii="Times New Roman" w:hAnsi="Times New Roman"/>
                <w:sz w:val="18"/>
              </w:rPr>
              <w:t xml:space="preserve">safely</w:t>
            </w: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She also saw the poverty of her people and the hard lives of so many women who were fighting against such basic problems as lack of food, firewood and water,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S[She] V[saw] O[the poverty of her people] and O[the hard lives of so many women [who were fighting against (such basic problems as...)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彼女はまた、自分の民の貧困と、食料・薪・水の不足や失業といった基本的な問題と闘う数多くの女性たちの苦しい生活を目の当たりにした。</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3</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4</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regularly / themselves</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tomorrow / do</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who / win</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is / sleep</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with / you</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