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left="0"/>
      </w:pPr>
      <w:r>
        <w:rPr>
          <w:rFonts w:eastAsia="MS Mincho" w:ascii="Times New Roman" w:hAnsi="Times New Roman"/>
          <w:b/>
          <w:sz w:val="24"/>
          <w:u w:val="none"/>
        </w:rPr>
        <w:t>２年受験コース　コミュⅡ　１学期期末試験　出題範囲</w:t>
      </w:r>
    </w:p>
    <w:p>
      <w:pPr>
        <w:spacing w:before="80" w:after="40"/>
        <w:ind w:left="0"/>
      </w:pPr>
      <w:r>
        <w:rPr>
          <w:rFonts w:eastAsia="MS Mincho" w:ascii="Times New Roman" w:hAnsi="Times New Roman"/>
          <w:b w:val="0"/>
          <w:sz w:val="21"/>
          <w:u w:val="single"/>
        </w:rPr>
        <w:t>出題テキスト</w:t>
      </w:r>
    </w:p>
    <w:p>
      <w:pPr>
        <w:spacing w:before="0" w:after="0"/>
        <w:ind w:left="0"/>
      </w:pPr>
      <w:r>
        <w:rPr>
          <w:rFonts w:eastAsia="MS Mincho" w:ascii="Times New Roman" w:hAnsi="Times New Roman"/>
          <w:b w:val="0"/>
          <w:sz w:val="21"/>
          <w:u w:val="none"/>
        </w:rPr>
        <w:t>・Heartening Ⅱ L3,4：　教科書本文/ワークブック</w:t>
      </w:r>
    </w:p>
    <w:p>
      <w:pPr>
        <w:spacing w:before="0" w:after="0"/>
        <w:ind w:left="0"/>
      </w:pPr>
      <w:r>
        <w:rPr>
          <w:rFonts w:eastAsia="MS Mincho" w:ascii="Times New Roman" w:hAnsi="Times New Roman"/>
          <w:b w:val="0"/>
          <w:sz w:val="21"/>
          <w:u w:val="none"/>
        </w:rPr>
        <w:t>・入門英文問題精講（入門）：</w:t>
      </w:r>
    </w:p>
    <w:p>
      <w:pPr>
        <w:spacing w:before="0" w:after="0"/>
        <w:ind w:left="0"/>
      </w:pPr>
      <w:r>
        <w:rPr>
          <w:rFonts w:eastAsia="MS Mincho" w:ascii="Times New Roman" w:hAnsi="Times New Roman"/>
          <w:b w:val="0"/>
          <w:sz w:val="21"/>
          <w:u w:val="none"/>
        </w:rPr>
        <w:t xml:space="preserve">　　授業で扱ったもの（問題番号　25,26,29,30,33,34,37,38,41,42）</w:t>
      </w:r>
    </w:p>
    <w:p>
      <w:pPr>
        <w:spacing w:before="0" w:after="0"/>
        <w:ind w:left="0"/>
      </w:pPr>
      <w:r>
        <w:rPr>
          <w:rFonts w:eastAsia="MS Mincho" w:ascii="Times New Roman" w:hAnsi="Times New Roman"/>
          <w:b w:val="0"/>
          <w:sz w:val="21"/>
          <w:u w:val="none"/>
        </w:rPr>
        <w:t xml:space="preserve">　　※加えて 27,28,31,32,35 からも出題します。</w:t>
      </w:r>
    </w:p>
    <w:p>
      <w:pPr>
        <w:spacing w:before="0" w:after="0"/>
        <w:ind w:left="0"/>
      </w:pPr>
      <w:r>
        <w:rPr>
          <w:rFonts w:eastAsia="MS Mincho" w:ascii="Times New Roman" w:hAnsi="Times New Roman"/>
          <w:b w:val="0"/>
          <w:sz w:val="21"/>
          <w:u w:val="none"/>
        </w:rPr>
        <w:t>・Neo現代 Unit2</w:t>
      </w:r>
    </w:p>
    <w:p>
      <w:pPr>
        <w:spacing w:before="200" w:after="40"/>
        <w:ind w:left="0"/>
      </w:pPr>
      <w:r>
        <w:rPr>
          <w:rFonts w:eastAsia="MS Mincho" w:ascii="Times New Roman" w:hAnsi="Times New Roman"/>
          <w:b w:val="0"/>
          <w:sz w:val="21"/>
          <w:u w:val="single"/>
        </w:rPr>
        <w:t>出題内容・配点（予定）</w:t>
      </w:r>
    </w:p>
    <w:p>
      <w:pPr>
        <w:spacing w:before="0" w:after="40"/>
        <w:ind w:left="0"/>
      </w:pPr>
      <w:r>
        <w:rPr>
          <w:rFonts w:eastAsia="MS Mincho" w:ascii="Times New Roman" w:hAnsi="Times New Roman"/>
          <w:b w:val="0"/>
          <w:sz w:val="21"/>
          <w:u w:val="none"/>
        </w:rPr>
        <w:t>テストは８０点満点（＋Speaking １０点＋Listening １０点　＝　１００点）</w:t>
      </w:r>
    </w:p>
    <w:p>
      <w:pPr>
        <w:spacing w:before="0" w:after="80"/>
        <w:ind w:left="0"/>
      </w:pPr>
      <w:r>
        <w:rPr>
          <w:rFonts w:eastAsia="MS Mincho" w:ascii="Times New Roman" w:hAnsi="Times New Roman"/>
          <w:b w:val="0"/>
          <w:sz w:val="21"/>
          <w:u w:val="none"/>
        </w:rPr>
        <w:t>※リスニングは６月２９日（月）に実施します。</w:t>
      </w:r>
    </w:p>
    <w:p>
      <w:pPr>
        <w:spacing w:before="0" w:after="0"/>
        <w:ind w:left="0"/>
      </w:pPr>
      <w:r>
        <w:rPr>
          <w:rFonts w:eastAsia="MS Mincho" w:ascii="Times New Roman" w:hAnsi="Times New Roman"/>
          <w:b/>
          <w:sz w:val="21"/>
          <w:u w:val="none"/>
        </w:rPr>
        <w:t>ワークブック　　　　１０点：</w:t>
      </w:r>
      <w:r>
        <w:rPr>
          <w:rFonts w:eastAsia="MS Mincho" w:ascii="Times New Roman" w:hAnsi="Times New Roman"/>
          <w:b w:val="0"/>
          <w:sz w:val="21"/>
          <w:u w:val="none"/>
        </w:rPr>
        <w:t xml:space="preserve">　穴埋め問題</w:t>
      </w:r>
    </w:p>
    <w:p>
      <w:pPr>
        <w:spacing w:before="0" w:after="0"/>
        <w:ind w:left="0"/>
      </w:pPr>
      <w:r>
        <w:rPr>
          <w:rFonts w:eastAsia="MS Mincho" w:ascii="Times New Roman" w:hAnsi="Times New Roman"/>
          <w:b/>
          <w:sz w:val="21"/>
          <w:u w:val="none"/>
        </w:rPr>
        <w:t>HearteningⅡ　　　　２０点：</w:t>
      </w:r>
      <w:r>
        <w:rPr>
          <w:rFonts w:eastAsia="MS Mincho" w:ascii="Times New Roman" w:hAnsi="Times New Roman"/>
          <w:b w:val="0"/>
          <w:sz w:val="21"/>
          <w:u w:val="none"/>
        </w:rPr>
        <w:t xml:space="preserve">　※どこにあったの問題など</w:t>
      </w:r>
    </w:p>
    <w:p>
      <w:pPr>
        <w:spacing w:before="0" w:after="0"/>
        <w:ind w:left="0"/>
      </w:pPr>
      <w:r>
        <w:rPr>
          <w:rFonts w:eastAsia="MS Mincho" w:ascii="Times New Roman" w:hAnsi="Times New Roman"/>
          <w:b/>
          <w:sz w:val="21"/>
          <w:u w:val="none"/>
        </w:rPr>
        <w:t>入門　　　　　　　　１５点：</w:t>
      </w:r>
      <w:r>
        <w:rPr>
          <w:rFonts w:eastAsia="MS Mincho" w:ascii="Times New Roman" w:hAnsi="Times New Roman"/>
          <w:b w:val="0"/>
          <w:sz w:val="21"/>
          <w:u w:val="none"/>
        </w:rPr>
        <w:t xml:space="preserve">　与えられた文に記号を振り構造を示す。それに基づいた日本語訳をする。</w:t>
        <w:br/>
        <w:t xml:space="preserve">　　　　　　　　　　　　　（＜名詞句・節＞, [形容詞句・節], (副詞句・節)。SVOCM）</w:t>
      </w:r>
    </w:p>
    <w:p>
      <w:pPr>
        <w:spacing w:before="0" w:after="0"/>
        <w:ind w:left="0"/>
      </w:pPr>
      <w:r>
        <w:rPr>
          <w:rFonts w:eastAsia="MS Mincho" w:ascii="Times New Roman" w:hAnsi="Times New Roman"/>
          <w:b/>
          <w:sz w:val="21"/>
          <w:u w:val="none"/>
        </w:rPr>
        <w:t>動画　　　　　　　　１０点：</w:t>
      </w:r>
      <w:r>
        <w:rPr>
          <w:rFonts w:eastAsia="MS Mincho" w:ascii="Times New Roman" w:hAnsi="Times New Roman"/>
          <w:b w:val="0"/>
          <w:sz w:val="21"/>
          <w:u w:val="none"/>
        </w:rPr>
        <w:t xml:space="preserve">　並び替え問題</w:t>
      </w:r>
    </w:p>
    <w:p>
      <w:pPr>
        <w:spacing w:before="0" w:after="0"/>
        <w:ind w:left="0"/>
      </w:pPr>
      <w:r>
        <w:rPr>
          <w:rFonts w:eastAsia="MS Mincho" w:ascii="Times New Roman" w:hAnsi="Times New Roman"/>
          <w:b/>
          <w:sz w:val="21"/>
          <w:u w:val="none"/>
        </w:rPr>
        <w:t>Neo現代 Unit2　　　１０点：</w:t>
      </w:r>
      <w:r>
        <w:rPr>
          <w:rFonts w:eastAsia="MS Mincho" w:ascii="Times New Roman" w:hAnsi="Times New Roman"/>
          <w:b w:val="0"/>
          <w:sz w:val="21"/>
          <w:u w:val="none"/>
        </w:rPr>
        <w:t xml:space="preserve">　本文の穴埋め問題</w:t>
      </w:r>
    </w:p>
    <w:p>
      <w:pPr>
        <w:spacing w:before="0" w:after="0"/>
        <w:ind w:left="0"/>
      </w:pPr>
      <w:r>
        <w:rPr>
          <w:rFonts w:eastAsia="MS Mincho" w:ascii="Times New Roman" w:hAnsi="Times New Roman"/>
          <w:b/>
          <w:sz w:val="21"/>
          <w:u w:val="none"/>
        </w:rPr>
        <w:t>初見問題　　　　　　１５点：</w:t>
      </w:r>
      <w:r>
        <w:rPr>
          <w:rFonts w:eastAsia="MS Mincho" w:ascii="Times New Roman" w:hAnsi="Times New Roman"/>
          <w:b w:val="0"/>
          <w:sz w:val="21"/>
          <w:u w:val="none"/>
        </w:rPr>
        <w:t xml:space="preserve">　英検２級レベル　リーディング</w:t>
      </w:r>
    </w:p>
    <w:p>
      <w:pPr>
        <w:spacing w:before="200" w:after="40"/>
        <w:ind w:left="0"/>
      </w:pPr>
      <w:r>
        <w:rPr>
          <w:rFonts w:eastAsia="MS Mincho" w:ascii="Times New Roman" w:hAnsi="Times New Roman"/>
          <w:b w:val="0"/>
          <w:sz w:val="21"/>
          <w:u w:val="single"/>
        </w:rPr>
        <w:t>勉強の仕方</w:t>
      </w:r>
    </w:p>
    <w:p>
      <w:pPr>
        <w:spacing w:before="40" w:after="40"/>
        <w:ind w:left="0"/>
      </w:pPr>
      <w:r>
        <w:rPr>
          <w:rFonts w:eastAsia="MS Mincho" w:ascii="Times New Roman" w:hAnsi="Times New Roman"/>
          <w:b w:val="0"/>
          <w:sz w:val="21"/>
          <w:u w:val="none"/>
        </w:rPr>
        <w:t>君たちにやってほしいことは、扱った英文の完全な理解と音読による定着です。</w:t>
        <w:br/>
        <w:t>それができているかを確認するテストにします。音読がんばって！！</w:t>
      </w:r>
    </w:p>
    <w:p>
      <w:pPr>
        <w:spacing w:before="200" w:after="40"/>
        <w:ind w:left="0"/>
      </w:pPr>
      <w:r>
        <w:rPr>
          <w:rFonts w:eastAsia="MS Mincho" w:ascii="Times New Roman" w:hAnsi="Times New Roman"/>
          <w:b w:val="0"/>
          <w:sz w:val="20"/>
          <w:u w:val="none"/>
        </w:rPr>
        <w:t>※どこにあったの問題の例</w:t>
      </w:r>
    </w:p>
    <w:p>
      <w:pPr>
        <w:spacing w:before="0" w:after="40"/>
        <w:ind w:left="0"/>
      </w:pPr>
      <w:r>
        <w:rPr>
          <w:rFonts w:eastAsia="MS Mincho" w:ascii="Times New Roman" w:hAnsi="Times New Roman"/>
          <w:b w:val="0"/>
          <w:sz w:val="20"/>
          <w:u w:val="none"/>
        </w:rPr>
        <w:t>問　この英文中には下の６つの語句が抜けている。本来入るべき場所を指摘しなさい。</w:t>
        <w:br/>
        <w:t xml:space="preserve">　　解答欄には，それぞれの語句が入る場所の前後の単語を書きなさい（１つ目のみ，例として解答を示す）。</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pPr>
              <w:jc w:val="center"/>
            </w:pPr>
            <w:r>
              <w:rPr>
                <w:rFonts w:eastAsia="MS Mincho" w:ascii="Times New Roman" w:hAnsi="Times New Roman"/>
                <w:b w:val="0"/>
                <w:sz w:val="20"/>
                <w:u w:val="none"/>
              </w:rPr>
              <w:t>0. once</w:t>
            </w:r>
          </w:p>
        </w:tc>
        <w:tc>
          <w:tcPr>
            <w:tcW w:type="dxa" w:w="1417"/>
          </w:tcPr>
          <w:p>
            <w:pPr>
              <w:jc w:val="center"/>
            </w:pPr>
            <w:r>
              <w:rPr>
                <w:rFonts w:eastAsia="MS Mincho" w:ascii="Times New Roman" w:hAnsi="Times New Roman"/>
                <w:b w:val="0"/>
                <w:sz w:val="20"/>
                <w:u w:val="none"/>
              </w:rPr>
              <w:t>1. so that</w:t>
            </w:r>
          </w:p>
        </w:tc>
        <w:tc>
          <w:tcPr>
            <w:tcW w:type="dxa" w:w="1417"/>
          </w:tcPr>
          <w:p>
            <w:pPr>
              <w:jc w:val="center"/>
            </w:pPr>
            <w:r>
              <w:rPr>
                <w:rFonts w:eastAsia="MS Mincho" w:ascii="Times New Roman" w:hAnsi="Times New Roman"/>
                <w:b w:val="0"/>
                <w:sz w:val="20"/>
                <w:u w:val="none"/>
              </w:rPr>
              <w:t>2. such as</w:t>
            </w:r>
          </w:p>
        </w:tc>
        <w:tc>
          <w:tcPr>
            <w:tcW w:type="dxa" w:w="1417"/>
          </w:tcPr>
          <w:p>
            <w:pPr>
              <w:jc w:val="center"/>
            </w:pPr>
            <w:r>
              <w:rPr>
                <w:rFonts w:eastAsia="MS Mincho" w:ascii="Times New Roman" w:hAnsi="Times New Roman"/>
                <w:b w:val="0"/>
                <w:sz w:val="20"/>
                <w:u w:val="none"/>
              </w:rPr>
              <w:t>3. quicker</w:t>
            </w:r>
          </w:p>
        </w:tc>
        <w:tc>
          <w:tcPr>
            <w:tcW w:type="dxa" w:w="1417"/>
          </w:tcPr>
          <w:p>
            <w:pPr>
              <w:jc w:val="center"/>
            </w:pPr>
            <w:r>
              <w:rPr>
                <w:rFonts w:eastAsia="MS Mincho" w:ascii="Times New Roman" w:hAnsi="Times New Roman"/>
                <w:b w:val="0"/>
                <w:sz w:val="20"/>
                <w:u w:val="none"/>
              </w:rPr>
              <w:t>4. instead of</w:t>
            </w:r>
          </w:p>
        </w:tc>
        <w:tc>
          <w:tcPr>
            <w:tcW w:type="dxa" w:w="1417"/>
          </w:tcPr>
          <w:p>
            <w:pPr>
              <w:jc w:val="center"/>
            </w:pPr>
            <w:r>
              <w:rPr>
                <w:rFonts w:eastAsia="MS Mincho" w:ascii="Times New Roman" w:hAnsi="Times New Roman"/>
                <w:b w:val="0"/>
                <w:sz w:val="20"/>
                <w:u w:val="none"/>
              </w:rPr>
              <w:t>5. well</w:t>
            </w:r>
          </w:p>
        </w:tc>
      </w:tr>
    </w:tbl>
    <w:p/>
    <w:p>
      <w:pPr>
        <w:spacing w:before="0" w:after="0"/>
        <w:ind w:left="170"/>
        <w:jc w:val="both"/>
      </w:pPr>
      <w:r>
        <w:rPr>
          <w:rFonts w:eastAsia="MS Mincho" w:ascii="Times New Roman" w:hAnsi="Times New Roman"/>
          <w:b w:val="0"/>
          <w:sz w:val="20"/>
          <w:u w:val="none"/>
        </w:rPr>
        <w:t>Surprisingly, Copenhagen's urban planners used to favor cars over other forms of transportation. The oil crisis of the 1970s led them to revise their transportation systems they would not have to rely on oil. Since then, the city has been installing cycling infrastructure the Green Wave and the Bicycle Snake. As a result, it is now to go downtown by bicycle than by car. That has led more people to cycle driving.</w:t>
      </w:r>
    </w:p>
    <w:p>
      <w:pPr>
        <w:spacing w:before="0" w:after="80"/>
        <w:ind w:left="170"/>
        <w:jc w:val="both"/>
      </w:pPr>
      <w:r>
        <w:rPr>
          <w:rFonts w:eastAsia="MS Mincho" w:ascii="Times New Roman" w:hAnsi="Times New Roman"/>
          <w:b w:val="0"/>
          <w:sz w:val="20"/>
          <w:u w:val="none"/>
        </w:rPr>
        <w:t>Making cities healthier and more attractive by adopting bike-friendly policies has come to be known as "Copenhagenization." Even New York is following Copenhagen's example. It has started locating car parking spaces in the middle of the street. That approach is called the "Protected Bicycle Lane" policy and it prevents vehicles from entering or parking in the bike lane. Consequently, bicycle traffic has increased 1.6 times. Moreover, there are fewer accidents. Many other cities may "Copenhagenize" as they seek to build more sustainable, livable communities. The Copenhagen model is changing the world for the better.</w:t>
      </w:r>
    </w:p>
    <w:p>
      <w:pPr>
        <w:spacing w:before="0" w:after="0"/>
        <w:ind w:left="0"/>
      </w:pPr>
      <w:r>
        <w:rPr>
          <w:rFonts w:eastAsia="MS Mincho" w:ascii="Times New Roman" w:hAnsi="Times New Roman"/>
          <w:b w:val="0"/>
          <w:sz w:val="20"/>
          <w:u w:val="none"/>
        </w:rPr>
        <w:t>1. （ planners ） once （ used ）　　　　2. （　　　　） so that （　　　　）</w:t>
        <w:br/>
        <w:t>3. （　　　　） such as （　　　　）　　4. （　　　　） quicker （　　　　）</w:t>
        <w:br/>
        <w:t>5. （　　　　） instead of （　　　　）　6. （　　　　） well （　　　　）</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