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
        <w:jc w:val="center"/>
      </w:pPr>
      <w:r>
        <w:rPr>
          <w:rFonts w:ascii="Aptos Display" w:hAnsi="Aptos Display"/>
          <w:b/>
          <w:color w:val="10161D"/>
          <w:sz w:val="50"/>
        </w:rPr>
        <w:t>EXECUTIVE OVERVIEW</w:t>
      </w:r>
    </w:p>
    <w:p>
      <w:pPr>
        <w:spacing w:after="60"/>
        <w:jc w:val="center"/>
      </w:pPr>
      <w:r>
        <w:rPr>
          <w:rFonts w:ascii="Aptos" w:hAnsi="Aptos"/>
          <w:b/>
          <w:color w:val="0D5CC6"/>
          <w:sz w:val="21"/>
        </w:rPr>
        <w:t>Institutional Launch Edition  |  Updated July 2026</w:t>
      </w:r>
    </w:p>
    <w:p>
      <w:pPr>
        <w:spacing w:after="160"/>
        <w:jc w:val="center"/>
      </w:pPr>
      <w:r>
        <w:rPr>
          <w:rFonts w:ascii="Aptos" w:hAnsi="Aptos"/>
          <w:i/>
          <w:color w:val="4B5560"/>
          <w:sz w:val="21"/>
        </w:rPr>
        <w:t>A community-rooted institution preserving identity, building opportunity, and organizing measurable community benefit.</w:t>
      </w:r>
    </w:p>
    <w:tbl>
      <w:tblPr>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232"/>
            <w:shd w:fill="0D5CC6"/>
            <w:tcMar>
              <w:top w:w="80" w:type="dxa"/>
              <w:start w:w="70" w:type="dxa"/>
              <w:bottom w:w="70" w:type="dxa"/>
              <w:end w:w="70" w:type="dxa"/>
            </w:tcMar>
            <w:vAlign w:val="center"/>
          </w:tcPr>
          <w:p>
            <w:pPr>
              <w:jc w:val="center"/>
            </w:pPr>
            <w:r>
              <w:rPr>
                <w:rFonts w:ascii="Aptos" w:hAnsi="Aptos"/>
                <w:b/>
                <w:color w:val="FFFFFF"/>
                <w:sz w:val="15"/>
              </w:rPr>
              <w:t>LEGAL STATUS</w:t>
            </w:r>
          </w:p>
        </w:tc>
        <w:tc>
          <w:tcPr>
            <w:tcW w:type="dxa" w:w="1800"/>
            <w:shd w:fill="0D5CC6"/>
            <w:tcMar>
              <w:top w:w="80" w:type="dxa"/>
              <w:start w:w="70" w:type="dxa"/>
              <w:bottom w:w="70" w:type="dxa"/>
              <w:end w:w="70" w:type="dxa"/>
            </w:tcMar>
            <w:vAlign w:val="center"/>
          </w:tcPr>
          <w:p>
            <w:pPr>
              <w:jc w:val="center"/>
            </w:pPr>
            <w:r>
              <w:rPr>
                <w:rFonts w:ascii="Aptos" w:hAnsi="Aptos"/>
                <w:b/>
                <w:color w:val="FFFFFF"/>
                <w:sz w:val="15"/>
              </w:rPr>
              <w:t>FEDERAL ID</w:t>
            </w:r>
          </w:p>
        </w:tc>
        <w:tc>
          <w:tcPr>
            <w:tcW w:type="dxa" w:w="2088"/>
            <w:shd w:fill="0D5CC6"/>
            <w:tcMar>
              <w:top w:w="80" w:type="dxa"/>
              <w:start w:w="70" w:type="dxa"/>
              <w:bottom w:w="70" w:type="dxa"/>
              <w:end w:w="70" w:type="dxa"/>
            </w:tcMar>
            <w:vAlign w:val="center"/>
          </w:tcPr>
          <w:p>
            <w:pPr>
              <w:jc w:val="center"/>
            </w:pPr>
            <w:r>
              <w:rPr>
                <w:rFonts w:ascii="Aptos" w:hAnsi="Aptos"/>
                <w:b/>
                <w:color w:val="FFFFFF"/>
                <w:sz w:val="15"/>
              </w:rPr>
              <w:t>GOVERNANCE</w:t>
            </w:r>
          </w:p>
        </w:tc>
        <w:tc>
          <w:tcPr>
            <w:tcW w:type="dxa" w:w="2232"/>
            <w:shd w:fill="0D5CC6"/>
            <w:tcMar>
              <w:top w:w="80" w:type="dxa"/>
              <w:start w:w="70" w:type="dxa"/>
              <w:bottom w:w="70" w:type="dxa"/>
              <w:end w:w="70" w:type="dxa"/>
            </w:tcMar>
            <w:vAlign w:val="center"/>
          </w:tcPr>
          <w:p>
            <w:pPr>
              <w:jc w:val="center"/>
            </w:pPr>
            <w:r>
              <w:rPr>
                <w:rFonts w:ascii="Aptos" w:hAnsi="Aptos"/>
                <w:b/>
                <w:color w:val="FFFFFF"/>
                <w:sz w:val="15"/>
              </w:rPr>
              <w:t>FOUNDING INITIATIVE</w:t>
            </w:r>
          </w:p>
        </w:tc>
        <w:tc>
          <w:tcPr>
            <w:tcW w:type="dxa" w:w="2232"/>
            <w:shd w:fill="0D5CC6"/>
            <w:tcMar>
              <w:top w:w="80" w:type="dxa"/>
              <w:start w:w="70" w:type="dxa"/>
              <w:bottom w:w="70" w:type="dxa"/>
              <w:end w:w="70" w:type="dxa"/>
            </w:tcMar>
            <w:vAlign w:val="center"/>
          </w:tcPr>
          <w:p>
            <w:pPr>
              <w:jc w:val="center"/>
            </w:pPr>
            <w:r>
              <w:rPr>
                <w:rFonts w:ascii="Aptos" w:hAnsi="Aptos"/>
                <w:b/>
                <w:color w:val="FFFFFF"/>
                <w:sz w:val="15"/>
              </w:rPr>
              <w:t>TAX-EXEMPT STATUS</w:t>
            </w:r>
          </w:p>
        </w:tc>
      </w:tr>
      <w:tr>
        <w:tc>
          <w:tcPr>
            <w:tcW w:type="dxa" w:w="2232"/>
            <w:shd w:fill="F2F5F8"/>
            <w:tcMar>
              <w:top w:w="85" w:type="dxa"/>
              <w:start w:w="70" w:type="dxa"/>
              <w:bottom w:w="85" w:type="dxa"/>
              <w:end w:w="70" w:type="dxa"/>
            </w:tcMar>
            <w:vAlign w:val="center"/>
          </w:tcPr>
          <w:p>
            <w:pPr>
              <w:jc w:val="center"/>
            </w:pPr>
            <w:r>
              <w:rPr>
                <w:rFonts w:ascii="Aptos" w:hAnsi="Aptos"/>
                <w:b/>
                <w:color w:val="10161D"/>
                <w:sz w:val="17"/>
              </w:rPr>
              <w:t>Florida nonprofit corporation</w:t>
            </w:r>
          </w:p>
        </w:tc>
        <w:tc>
          <w:tcPr>
            <w:tcW w:type="dxa" w:w="1800"/>
            <w:shd w:fill="F2F5F8"/>
            <w:tcMar>
              <w:top w:w="85" w:type="dxa"/>
              <w:start w:w="70" w:type="dxa"/>
              <w:bottom w:w="85" w:type="dxa"/>
              <w:end w:w="70" w:type="dxa"/>
            </w:tcMar>
            <w:vAlign w:val="center"/>
          </w:tcPr>
          <w:p>
            <w:pPr>
              <w:jc w:val="center"/>
            </w:pPr>
            <w:r>
              <w:rPr>
                <w:rFonts w:ascii="Aptos" w:hAnsi="Aptos"/>
                <w:b/>
                <w:color w:val="10161D"/>
                <w:sz w:val="17"/>
              </w:rPr>
              <w:t>EIN secured</w:t>
            </w:r>
          </w:p>
        </w:tc>
        <w:tc>
          <w:tcPr>
            <w:tcW w:type="dxa" w:w="2088"/>
            <w:shd w:fill="F2F5F8"/>
            <w:tcMar>
              <w:top w:w="85" w:type="dxa"/>
              <w:start w:w="70" w:type="dxa"/>
              <w:bottom w:w="85" w:type="dxa"/>
              <w:end w:w="70" w:type="dxa"/>
            </w:tcMar>
            <w:vAlign w:val="center"/>
          </w:tcPr>
          <w:p>
            <w:pPr>
              <w:jc w:val="center"/>
            </w:pPr>
            <w:r>
              <w:rPr>
                <w:rFonts w:ascii="Aptos" w:hAnsi="Aptos"/>
                <w:b w:val="0"/>
                <w:color w:val="10161D"/>
                <w:sz w:val="17"/>
              </w:rPr>
              <w:t>Five voting directors</w:t>
            </w:r>
          </w:p>
        </w:tc>
        <w:tc>
          <w:tcPr>
            <w:tcW w:type="dxa" w:w="2232"/>
            <w:shd w:fill="F2F5F8"/>
            <w:tcMar>
              <w:top w:w="85" w:type="dxa"/>
              <w:start w:w="70" w:type="dxa"/>
              <w:bottom w:w="85" w:type="dxa"/>
              <w:end w:w="70" w:type="dxa"/>
            </w:tcMar>
            <w:vAlign w:val="center"/>
          </w:tcPr>
          <w:p>
            <w:pPr>
              <w:jc w:val="center"/>
            </w:pPr>
            <w:r>
              <w:rPr>
                <w:rFonts w:ascii="Aptos" w:hAnsi="Aptos"/>
                <w:b w:val="0"/>
                <w:color w:val="10161D"/>
                <w:sz w:val="17"/>
              </w:rPr>
              <w:t>Voice of East Stuart</w:t>
            </w:r>
          </w:p>
        </w:tc>
        <w:tc>
          <w:tcPr>
            <w:tcW w:type="dxa" w:w="2232"/>
            <w:shd w:fill="F2F5F8"/>
            <w:tcMar>
              <w:top w:w="85" w:type="dxa"/>
              <w:start w:w="70" w:type="dxa"/>
              <w:bottom w:w="85" w:type="dxa"/>
              <w:end w:w="70" w:type="dxa"/>
            </w:tcMar>
            <w:vAlign w:val="center"/>
          </w:tcPr>
          <w:p>
            <w:pPr>
              <w:jc w:val="center"/>
            </w:pPr>
            <w:r>
              <w:rPr>
                <w:rFonts w:ascii="Aptos" w:hAnsi="Aptos"/>
                <w:b w:val="0"/>
                <w:color w:val="10161D"/>
                <w:sz w:val="17"/>
              </w:rPr>
              <w:t>501(c)(3) application preparation underway</w:t>
            </w:r>
          </w:p>
        </w:tc>
      </w:tr>
    </w:tbl>
    <w:p>
      <w:pPr>
        <w:keepNext/>
        <w:spacing w:before="140" w:after="60"/>
        <w:pBdr>
          <w:bottom w:val="single" w:sz="8" w:space="3" w:color="A9B0B8"/>
        </w:pBdr>
      </w:pPr>
      <w:r>
        <w:rPr>
          <w:rFonts w:ascii="Aptos Display" w:hAnsi="Aptos Display"/>
          <w:b/>
          <w:color w:val="0D5CC6"/>
          <w:sz w:val="28"/>
        </w:rPr>
        <w:t>Who We Are</w:t>
      </w:r>
    </w:p>
    <w:p>
      <w:pPr>
        <w:spacing w:after="80" w:line="250" w:lineRule="auto"/>
      </w:pPr>
      <w:r>
        <w:rPr>
          <w:rFonts w:ascii="Aptos" w:hAnsi="Aptos"/>
          <w:i w:val="0"/>
          <w:color w:val="10161D"/>
          <w:sz w:val="20"/>
        </w:rPr>
        <w:t>Heritage &amp; Opportunity Alliance, Inc. (HOA) is a newly formed, community-rooted Florida nonprofit corporation created to help residents preserve community identity, strengthen families, access opportunity, and participate meaningfully in decisions that shape their future.</w:t>
      </w:r>
    </w:p>
    <w:p>
      <w:pPr>
        <w:spacing w:after="80" w:line="250" w:lineRule="auto"/>
      </w:pPr>
      <w:r>
        <w:rPr>
          <w:rFonts w:ascii="Aptos" w:hAnsi="Aptos"/>
          <w:i w:val="0"/>
          <w:color w:val="10161D"/>
          <w:sz w:val="20"/>
        </w:rPr>
        <w:t>HOA begins with Voice of East Stuart as its founding local initiative. The organization is designed to serve as a durable bridge among residents, public agencies, nonprofit organizations, churches, workforce systems, schools, businesses, artists, developers, funders, and other community partners.</w:t>
      </w:r>
    </w:p>
    <w:p>
      <w:pPr>
        <w:spacing w:after="80" w:line="250" w:lineRule="auto"/>
      </w:pPr>
      <w:r>
        <w:rPr>
          <w:rFonts w:ascii="Aptos" w:hAnsi="Aptos"/>
          <w:i w:val="0"/>
          <w:color w:val="10161D"/>
          <w:sz w:val="20"/>
        </w:rPr>
        <w:t>We are not forming to duplicate existing organizations. We are building the community infrastructure needed to connect residents to trusted services, coordinate partnerships, document outcomes, preserve cultural memory, and ensure public and private investment produces measurable community benefit.</w:t>
      </w:r>
    </w:p>
    <w:tbl>
      <w:tblPr>
        <w:tblW w:type="auto" w:w="0"/>
        <w:jc w:val="center"/>
        <w:tblLayout w:type="fixed"/>
        <w:tblLook w:firstColumn="1" w:firstRow="1" w:lastColumn="0" w:lastRow="0" w:noHBand="0" w:noVBand="1" w:val="04A0"/>
      </w:tblPr>
      <w:tblGrid>
        <w:gridCol w:w="5184"/>
        <w:gridCol w:w="5184"/>
      </w:tblGrid>
      <w:tr>
        <w:tc>
          <w:tcPr>
            <w:tcW w:type="dxa" w:w="5256"/>
            <w:shd w:fill="F2F5F8"/>
            <w:tcMar>
              <w:top w:w="120" w:type="dxa"/>
              <w:start w:w="130" w:type="dxa"/>
              <w:bottom w:w="110" w:type="dxa"/>
              <w:end w:w="130" w:type="dxa"/>
            </w:tcMar>
            <w:vAlign w:val="top"/>
          </w:tcPr>
          <w:p>
            <w:r>
              <w:rPr>
                <w:rFonts w:ascii="Aptos" w:hAnsi="Aptos"/>
                <w:b/>
                <w:color w:val="0D5CC6"/>
                <w:sz w:val="20"/>
              </w:rPr>
              <w:t>VISION</w:t>
            </w:r>
          </w:p>
          <w:p>
            <w:pPr>
              <w:spacing w:after="100"/>
            </w:pPr>
            <w:r>
              <w:rPr>
                <w:rFonts w:ascii="Aptos" w:hAnsi="Aptos"/>
                <w:color w:val="10161D"/>
                <w:sz w:val="19"/>
              </w:rPr>
              <w:t>To build a lasting community power structure that protects identity, strengthens rootedness, and connects residents to real opportunities.</w:t>
            </w:r>
          </w:p>
          <w:p>
            <w:pPr>
              <w:spacing w:after="0"/>
            </w:pPr>
            <w:r>
              <w:rPr>
                <w:rFonts w:ascii="Aptos" w:hAnsi="Aptos"/>
                <w:b/>
                <w:color w:val="10161D"/>
                <w:sz w:val="18"/>
              </w:rPr>
              <w:t>Heritage is what we protect.</w:t>
              <w:br/>
            </w:r>
            <w:r>
              <w:rPr>
                <w:rFonts w:ascii="Aptos" w:hAnsi="Aptos"/>
                <w:b/>
                <w:color w:val="10161D"/>
                <w:sz w:val="18"/>
              </w:rPr>
              <w:t>Opportunity is what we build.</w:t>
              <w:br/>
            </w:r>
            <w:r>
              <w:rPr>
                <w:rFonts w:ascii="Aptos" w:hAnsi="Aptos"/>
                <w:b/>
                <w:color w:val="10161D"/>
                <w:sz w:val="18"/>
              </w:rPr>
              <w:t>Alliance is how we do it together.</w:t>
            </w:r>
          </w:p>
        </w:tc>
        <w:tc>
          <w:tcPr>
            <w:tcW w:type="dxa" w:w="5256"/>
            <w:shd w:fill="F2F5F8"/>
            <w:tcMar>
              <w:top w:w="120" w:type="dxa"/>
              <w:start w:w="130" w:type="dxa"/>
              <w:bottom w:w="110" w:type="dxa"/>
              <w:end w:w="130" w:type="dxa"/>
            </w:tcMar>
            <w:vAlign w:val="top"/>
          </w:tcPr>
          <w:p>
            <w:r>
              <w:rPr>
                <w:rFonts w:ascii="Aptos" w:hAnsi="Aptos"/>
                <w:b/>
                <w:color w:val="0D5CC6"/>
                <w:sz w:val="20"/>
              </w:rPr>
              <w:t>MISSION</w:t>
            </w:r>
          </w:p>
          <w:p>
            <w:pPr>
              <w:spacing w:after="0"/>
            </w:pPr>
            <w:r>
              <w:rPr>
                <w:rFonts w:ascii="Aptos" w:hAnsi="Aptos"/>
                <w:color w:val="10161D"/>
                <w:sz w:val="19"/>
              </w:rPr>
              <w:t>Heritage &amp; Opportunity Alliance organizes residents, preserves community identity, connects people to resources and opportunities, and helps ensure public and private investment creates measurable benefits for historically impacted communities, especially East Stuart.</w:t>
            </w:r>
          </w:p>
        </w:tc>
      </w:tr>
    </w:tbl>
    <w:p>
      <w:pPr>
        <w:keepNext/>
        <w:spacing w:before="140" w:after="60"/>
        <w:pBdr>
          <w:bottom w:val="single" w:sz="8" w:space="3" w:color="A9B0B8"/>
        </w:pBdr>
      </w:pPr>
      <w:r>
        <w:rPr>
          <w:rFonts w:ascii="Aptos Display" w:hAnsi="Aptos Display"/>
          <w:b/>
          <w:color w:val="0D5CC6"/>
          <w:sz w:val="28"/>
        </w:rPr>
        <w:t>Why This Institution Is Needed</w:t>
      </w:r>
    </w:p>
    <w:p>
      <w:pPr>
        <w:spacing w:after="80" w:line="250" w:lineRule="auto"/>
      </w:pPr>
      <w:r>
        <w:rPr>
          <w:rFonts w:ascii="Aptos" w:hAnsi="Aptos"/>
          <w:i w:val="0"/>
          <w:color w:val="10161D"/>
          <w:sz w:val="20"/>
        </w:rPr>
        <w:t>East Stuart has deep cultural roots, longstanding churches, families, homeowners, workers, entrepreneurs, elders, and youth. It has also experienced redevelopment pressure, fragmented communication, underused resources, displacement concerns, limited early resident participation, and decisions that can move faster than community information and organization.</w:t>
      </w:r>
    </w:p>
    <w:p>
      <w:pPr>
        <w:spacing w:after="80" w:line="250" w:lineRule="auto"/>
      </w:pPr>
      <w:r>
        <w:rPr>
          <w:rFonts w:ascii="Aptos" w:hAnsi="Aptos"/>
          <w:i w:val="0"/>
          <w:color w:val="10161D"/>
          <w:sz w:val="20"/>
        </w:rPr>
        <w:t>At the same time, significant opportunities are emerging. HOA is being built so residents can access those opportunities early, clearly, consistently, and with documentation of results.</w:t>
      </w:r>
    </w:p>
    <w:p>
      <w:pPr>
        <w:pStyle w:val="ListBullet"/>
        <w:spacing w:after="30" w:line="240" w:lineRule="auto"/>
        <w:ind w:left="288" w:hanging="173"/>
      </w:pPr>
      <w:r>
        <w:rPr>
          <w:rFonts w:ascii="Aptos" w:hAnsi="Aptos"/>
          <w:color w:val="10161D"/>
          <w:sz w:val="19"/>
        </w:rPr>
        <w:t>Project LIFT, workforce training, business incubation, skilled trades, aviation, and technical career pathways</w:t>
      </w:r>
    </w:p>
    <w:p>
      <w:pPr>
        <w:pStyle w:val="ListBullet"/>
        <w:spacing w:after="30" w:line="240" w:lineRule="auto"/>
        <w:ind w:left="288" w:hanging="173"/>
      </w:pPr>
      <w:r>
        <w:rPr>
          <w:rFonts w:ascii="Aptos" w:hAnsi="Aptos"/>
          <w:color w:val="10161D"/>
          <w:sz w:val="19"/>
        </w:rPr>
        <w:t>The 10th Street Community Center, Guy Davis Park, youth leadership, athletics, mentoring, and family-resource programming</w:t>
      </w:r>
    </w:p>
    <w:p>
      <w:pPr>
        <w:pStyle w:val="ListBullet"/>
        <w:spacing w:after="30" w:line="240" w:lineRule="auto"/>
        <w:ind w:left="288" w:hanging="173"/>
      </w:pPr>
      <w:r>
        <w:rPr>
          <w:rFonts w:ascii="Aptos" w:hAnsi="Aptos"/>
          <w:color w:val="10161D"/>
          <w:sz w:val="19"/>
        </w:rPr>
        <w:t>Historic preservation, oral history, public art, cultural storytelling, and East Stuart historic district work</w:t>
      </w:r>
    </w:p>
    <w:p>
      <w:pPr>
        <w:pStyle w:val="ListBullet"/>
        <w:spacing w:after="30" w:line="240" w:lineRule="auto"/>
        <w:ind w:left="288" w:hanging="173"/>
      </w:pPr>
      <w:r>
        <w:rPr>
          <w:rFonts w:ascii="Aptos" w:hAnsi="Aptos"/>
          <w:color w:val="10161D"/>
          <w:sz w:val="19"/>
        </w:rPr>
        <w:t>CRA investment, neighborhood revitalization, local business participation, and community-benefit accountability</w:t>
      </w:r>
    </w:p>
    <w:p>
      <w:pPr>
        <w:pStyle w:val="ListBullet"/>
        <w:spacing w:after="30" w:line="240" w:lineRule="auto"/>
        <w:ind w:left="288" w:hanging="173"/>
      </w:pPr>
      <w:r>
        <w:rPr>
          <w:rFonts w:ascii="Aptos" w:hAnsi="Aptos"/>
          <w:color w:val="10161D"/>
          <w:sz w:val="19"/>
        </w:rPr>
        <w:t>Homeowner stability, probate and heirs’ property education, repair-resource navigation, and anti-displacement strategies</w:t>
      </w:r>
    </w:p>
    <w:p>
      <w:pPr>
        <w:pStyle w:val="ListBullet"/>
        <w:spacing w:after="30" w:line="240" w:lineRule="auto"/>
        <w:ind w:left="288" w:hanging="173"/>
      </w:pPr>
      <w:r>
        <w:rPr>
          <w:rFonts w:ascii="Aptos" w:hAnsi="Aptos"/>
          <w:color w:val="10161D"/>
          <w:sz w:val="19"/>
        </w:rPr>
        <w:t>Long-term land stewardship and community land trust exploration for lasting affordability and community control</w:t>
      </w:r>
    </w:p>
    <w:p>
      <w:pPr>
        <w:keepNext/>
        <w:spacing w:before="140" w:after="60"/>
        <w:pBdr>
          <w:bottom w:val="single" w:sz="8" w:space="3" w:color="A9B0B8"/>
        </w:pBdr>
      </w:pPr>
      <w:r>
        <w:rPr>
          <w:rFonts w:ascii="Aptos Display" w:hAnsi="Aptos Display"/>
          <w:b/>
          <w:color w:val="0D5CC6"/>
          <w:sz w:val="28"/>
        </w:rPr>
        <w:t>Our Institutional Model</w:t>
      </w:r>
    </w:p>
    <w:p>
      <w:pPr>
        <w:spacing w:after="80" w:line="250" w:lineRule="auto"/>
      </w:pPr>
      <w:r>
        <w:rPr>
          <w:rFonts w:ascii="Aptos" w:hAnsi="Aptos"/>
          <w:i w:val="0"/>
          <w:color w:val="10161D"/>
          <w:sz w:val="20"/>
        </w:rPr>
        <w:t>HOA is structured as an umbrella nonprofit institution. The Board governs, officers administer authorized work, committees organize and report, advisory participants provide community perspective, and programs operate through written charters and measurable work plans.</w:t>
      </w:r>
    </w:p>
    <w:tbl>
      <w:tblPr>
        <w:tblW w:type="auto" w:w="0"/>
        <w:jc w:val="center"/>
        <w:tblLayout w:type="fixed"/>
        <w:tblLook w:firstColumn="1" w:firstRow="1" w:lastColumn="0" w:lastRow="0" w:noHBand="0" w:noVBand="1" w:val="04A0"/>
      </w:tblPr>
      <w:tblGrid>
        <w:gridCol w:w="3456"/>
        <w:gridCol w:w="3456"/>
        <w:gridCol w:w="3456"/>
      </w:tblGrid>
      <w:tr>
        <w:tc>
          <w:tcPr>
            <w:tcW w:type="dxa" w:w="3456"/>
            <w:shd w:fill="0D5CC6"/>
            <w:tcMar>
              <w:top w:w="70" w:type="dxa"/>
              <w:start w:w="90" w:type="dxa"/>
              <w:bottom w:w="70" w:type="dxa"/>
              <w:end w:w="90" w:type="dxa"/>
            </w:tcMar>
          </w:tcPr>
          <w:p>
            <w:pPr>
              <w:jc w:val="center"/>
            </w:pPr>
            <w:r>
              <w:rPr>
                <w:rFonts w:ascii="Aptos" w:hAnsi="Aptos"/>
                <w:b/>
                <w:color w:val="FFFFFF"/>
                <w:sz w:val="16"/>
              </w:rPr>
              <w:t>GOVERNANCE</w:t>
            </w:r>
          </w:p>
        </w:tc>
        <w:tc>
          <w:tcPr>
            <w:tcW w:type="dxa" w:w="3456"/>
            <w:shd w:fill="0D5CC6"/>
            <w:tcMar>
              <w:top w:w="70" w:type="dxa"/>
              <w:start w:w="90" w:type="dxa"/>
              <w:bottom w:w="70" w:type="dxa"/>
              <w:end w:w="90" w:type="dxa"/>
            </w:tcMar>
          </w:tcPr>
          <w:p>
            <w:pPr>
              <w:jc w:val="center"/>
            </w:pPr>
            <w:r>
              <w:rPr>
                <w:rFonts w:ascii="Aptos" w:hAnsi="Aptos"/>
                <w:b/>
                <w:color w:val="FFFFFF"/>
                <w:sz w:val="16"/>
              </w:rPr>
              <w:t>COMMUNITY ORGANIZATION</w:t>
            </w:r>
          </w:p>
        </w:tc>
        <w:tc>
          <w:tcPr>
            <w:tcW w:type="dxa" w:w="3456"/>
            <w:shd w:fill="0D5CC6"/>
            <w:tcMar>
              <w:top w:w="70" w:type="dxa"/>
              <w:start w:w="90" w:type="dxa"/>
              <w:bottom w:w="70" w:type="dxa"/>
              <w:end w:w="90" w:type="dxa"/>
            </w:tcMar>
          </w:tcPr>
          <w:p>
            <w:pPr>
              <w:jc w:val="center"/>
            </w:pPr>
            <w:r>
              <w:rPr>
                <w:rFonts w:ascii="Aptos" w:hAnsi="Aptos"/>
                <w:b/>
                <w:color w:val="FFFFFF"/>
                <w:sz w:val="16"/>
              </w:rPr>
              <w:t>PROGRAM DELIVERY</w:t>
            </w:r>
          </w:p>
        </w:tc>
      </w:tr>
      <w:tr>
        <w:tc>
          <w:tcPr>
            <w:tcW w:type="dxa" w:w="3456"/>
            <w:shd w:fill="F2F5F8"/>
            <w:tcMar>
              <w:top w:w="75" w:type="dxa"/>
              <w:start w:w="90" w:type="dxa"/>
              <w:bottom w:w="75" w:type="dxa"/>
              <w:end w:w="90" w:type="dxa"/>
            </w:tcMar>
          </w:tcPr>
          <w:p>
            <w:r>
              <w:rPr>
                <w:rFonts w:ascii="Aptos" w:hAnsi="Aptos"/>
                <w:color w:val="10161D"/>
                <w:sz w:val="17"/>
              </w:rPr>
              <w:t>Five voting directors</w:t>
            </w:r>
          </w:p>
        </w:tc>
        <w:tc>
          <w:tcPr>
            <w:tcW w:type="dxa" w:w="3456"/>
            <w:shd w:fill="F2F5F8"/>
            <w:tcMar>
              <w:top w:w="75" w:type="dxa"/>
              <w:start w:w="90" w:type="dxa"/>
              <w:bottom w:w="75" w:type="dxa"/>
              <w:end w:w="90" w:type="dxa"/>
            </w:tcMar>
          </w:tcPr>
          <w:p>
            <w:r>
              <w:rPr>
                <w:rFonts w:ascii="Aptos" w:hAnsi="Aptos"/>
                <w:color w:val="10161D"/>
                <w:sz w:val="17"/>
              </w:rPr>
              <w:t>East Stuart advisory network</w:t>
            </w:r>
          </w:p>
        </w:tc>
        <w:tc>
          <w:tcPr>
            <w:tcW w:type="dxa" w:w="3456"/>
            <w:shd w:fill="F2F5F8"/>
            <w:tcMar>
              <w:top w:w="75" w:type="dxa"/>
              <w:start w:w="90" w:type="dxa"/>
              <w:bottom w:w="75" w:type="dxa"/>
              <w:end w:w="90" w:type="dxa"/>
            </w:tcMar>
          </w:tcPr>
          <w:p>
            <w:r>
              <w:rPr>
                <w:rFonts w:ascii="Aptos" w:hAnsi="Aptos"/>
                <w:color w:val="10161D"/>
                <w:sz w:val="17"/>
              </w:rPr>
              <w:t>Board-approved programs and partnerships</w:t>
            </w:r>
          </w:p>
        </w:tc>
      </w:tr>
      <w:tr>
        <w:tc>
          <w:tcPr>
            <w:tcW w:type="dxa" w:w="3456"/>
            <w:shd w:fill="FFFFFF"/>
            <w:tcMar>
              <w:top w:w="75" w:type="dxa"/>
              <w:start w:w="90" w:type="dxa"/>
              <w:bottom w:w="75" w:type="dxa"/>
              <w:end w:w="90" w:type="dxa"/>
            </w:tcMar>
          </w:tcPr>
          <w:p>
            <w:r>
              <w:rPr>
                <w:rFonts w:ascii="Aptos" w:hAnsi="Aptos"/>
                <w:color w:val="10161D"/>
                <w:sz w:val="17"/>
              </w:rPr>
              <w:t>President, Vice President, Secretary, Treasurer, At-Large/Youth Director</w:t>
            </w:r>
          </w:p>
        </w:tc>
        <w:tc>
          <w:tcPr>
            <w:tcW w:type="dxa" w:w="3456"/>
            <w:shd w:fill="FFFFFF"/>
            <w:tcMar>
              <w:top w:w="75" w:type="dxa"/>
              <w:start w:w="90" w:type="dxa"/>
              <w:bottom w:w="75" w:type="dxa"/>
              <w:end w:w="90" w:type="dxa"/>
            </w:tcMar>
          </w:tcPr>
          <w:p>
            <w:r>
              <w:rPr>
                <w:rFonts w:ascii="Aptos" w:hAnsi="Aptos"/>
                <w:color w:val="10161D"/>
                <w:sz w:val="17"/>
              </w:rPr>
              <w:t>Resident input, issue tracking, outreach, recommendations</w:t>
            </w:r>
          </w:p>
        </w:tc>
        <w:tc>
          <w:tcPr>
            <w:tcW w:type="dxa" w:w="3456"/>
            <w:shd w:fill="FFFFFF"/>
            <w:tcMar>
              <w:top w:w="75" w:type="dxa"/>
              <w:start w:w="90" w:type="dxa"/>
              <w:bottom w:w="75" w:type="dxa"/>
              <w:end w:w="90" w:type="dxa"/>
            </w:tcMar>
          </w:tcPr>
          <w:p>
            <w:r>
              <w:rPr>
                <w:rFonts w:ascii="Aptos" w:hAnsi="Aptos"/>
                <w:color w:val="10161D"/>
                <w:sz w:val="17"/>
              </w:rPr>
              <w:t>Written scopes, safety rules, financial controls, records, and outcome reporting</w:t>
            </w:r>
          </w:p>
        </w:tc>
      </w:tr>
      <w:tr>
        <w:tc>
          <w:tcPr>
            <w:tcW w:type="dxa" w:w="3456"/>
            <w:shd w:fill="F2F5F8"/>
            <w:tcMar>
              <w:top w:w="75" w:type="dxa"/>
              <w:start w:w="90" w:type="dxa"/>
              <w:bottom w:w="75" w:type="dxa"/>
              <w:end w:w="90" w:type="dxa"/>
            </w:tcMar>
          </w:tcPr>
          <w:p>
            <w:r>
              <w:rPr>
                <w:rFonts w:ascii="Aptos" w:hAnsi="Aptos"/>
                <w:color w:val="10161D"/>
                <w:sz w:val="17"/>
              </w:rPr>
              <w:t>Board retains fiduciary and legal authority</w:t>
            </w:r>
          </w:p>
        </w:tc>
        <w:tc>
          <w:tcPr>
            <w:tcW w:type="dxa" w:w="3456"/>
            <w:shd w:fill="F2F5F8"/>
            <w:tcMar>
              <w:top w:w="75" w:type="dxa"/>
              <w:start w:w="90" w:type="dxa"/>
              <w:bottom w:w="75" w:type="dxa"/>
              <w:end w:w="90" w:type="dxa"/>
            </w:tcMar>
          </w:tcPr>
          <w:p>
            <w:r>
              <w:rPr>
                <w:rFonts w:ascii="Aptos" w:hAnsi="Aptos"/>
                <w:color w:val="10161D"/>
                <w:sz w:val="17"/>
              </w:rPr>
              <w:t>Advisors and committee members do not bind the corporation</w:t>
            </w:r>
          </w:p>
        </w:tc>
        <w:tc>
          <w:tcPr>
            <w:tcW w:type="dxa" w:w="3456"/>
            <w:shd w:fill="F2F5F8"/>
            <w:tcMar>
              <w:top w:w="75" w:type="dxa"/>
              <w:start w:w="90" w:type="dxa"/>
              <w:bottom w:w="75" w:type="dxa"/>
              <w:end w:w="90" w:type="dxa"/>
            </w:tcMar>
          </w:tcPr>
          <w:p>
            <w:r>
              <w:rPr>
                <w:rFonts w:ascii="Aptos" w:hAnsi="Aptos"/>
                <w:color w:val="10161D"/>
                <w:sz w:val="17"/>
              </w:rPr>
              <w:t>No promises of jobs, grants, housing, repairs, contracts, or public approvals without authorization</w:t>
            </w:r>
          </w:p>
        </w:tc>
      </w:tr>
    </w:tbl>
    <w:p>
      <w:pPr>
        <w:keepNext/>
        <w:spacing w:before="140" w:after="60"/>
        <w:pBdr>
          <w:bottom w:val="single" w:sz="8" w:space="3" w:color="A9B0B8"/>
        </w:pBdr>
      </w:pPr>
      <w:r>
        <w:rPr>
          <w:rFonts w:ascii="Aptos Display" w:hAnsi="Aptos Display"/>
          <w:b/>
          <w:color w:val="0D5CC6"/>
          <w:sz w:val="28"/>
        </w:rPr>
        <w:t>Standing Committees</w:t>
      </w:r>
    </w:p>
    <w:p>
      <w:pPr>
        <w:keepNext/>
        <w:spacing w:before="60" w:after="20"/>
      </w:pPr>
      <w:r>
        <w:rPr>
          <w:rFonts w:ascii="Aptos" w:hAnsi="Aptos"/>
          <w:b/>
          <w:color w:val="0D5CC6"/>
          <w:sz w:val="20"/>
        </w:rPr>
        <w:t>1. Heritage, Homeowner Stability &amp; Church Unity</w:t>
      </w:r>
    </w:p>
    <w:p>
      <w:pPr>
        <w:spacing w:after="80"/>
        <w:ind w:left="259"/>
      </w:pPr>
      <w:r>
        <w:rPr>
          <w:rFonts w:ascii="Aptos" w:hAnsi="Aptos"/>
          <w:color w:val="10161D"/>
          <w:sz w:val="19"/>
        </w:rPr>
        <w:t>Preserves East Stuart memory, engages elders and churches, supports oral history and cultural documentation, and connects homeowners to qualified education and referral resources.</w:t>
      </w:r>
    </w:p>
    <w:p>
      <w:pPr>
        <w:keepNext/>
        <w:spacing w:before="60" w:after="20"/>
      </w:pPr>
      <w:r>
        <w:rPr>
          <w:rFonts w:ascii="Aptos" w:hAnsi="Aptos"/>
          <w:b/>
          <w:color w:val="0D5CC6"/>
          <w:sz w:val="20"/>
        </w:rPr>
        <w:t>2. Opportunity, Workforce &amp; Economic Development</w:t>
      </w:r>
    </w:p>
    <w:p>
      <w:pPr>
        <w:spacing w:after="80"/>
        <w:ind w:left="259"/>
      </w:pPr>
      <w:r>
        <w:rPr>
          <w:rFonts w:ascii="Aptos" w:hAnsi="Aptos"/>
          <w:color w:val="10161D"/>
          <w:sz w:val="19"/>
        </w:rPr>
        <w:t>Builds pathways into workforce training, skilled trades, aviation, entrepreneurship, vendor readiness, public art opportunities, and measurable community benefit.</w:t>
      </w:r>
    </w:p>
    <w:p>
      <w:pPr>
        <w:keepNext/>
        <w:spacing w:before="60" w:after="20"/>
      </w:pPr>
      <w:r>
        <w:rPr>
          <w:rFonts w:ascii="Aptos" w:hAnsi="Aptos"/>
          <w:b/>
          <w:color w:val="0D5CC6"/>
          <w:sz w:val="20"/>
        </w:rPr>
        <w:t>3. Community Programs, Youth Leadership &amp; Volunteer Operations</w:t>
      </w:r>
    </w:p>
    <w:p>
      <w:pPr>
        <w:spacing w:after="80"/>
        <w:ind w:left="259"/>
      </w:pPr>
      <w:r>
        <w:rPr>
          <w:rFonts w:ascii="Aptos" w:hAnsi="Aptos"/>
          <w:color w:val="10161D"/>
          <w:sz w:val="19"/>
        </w:rPr>
        <w:t>Turns meetings into organized programs through resource clinics, youth leadership, volunteer coordination, events, safe participation systems, data collection, and follow-up.</w:t>
      </w:r>
    </w:p>
    <w:p>
      <w:pPr>
        <w:keepNext/>
        <w:spacing w:before="140" w:after="60"/>
        <w:pBdr>
          <w:bottom w:val="single" w:sz="8" w:space="3" w:color="A9B0B8"/>
        </w:pBdr>
      </w:pPr>
      <w:r>
        <w:rPr>
          <w:rFonts w:ascii="Aptos Display" w:hAnsi="Aptos Display"/>
          <w:b/>
          <w:color w:val="0D5CC6"/>
          <w:sz w:val="28"/>
        </w:rPr>
        <w:t>Current Progress</w:t>
      </w:r>
    </w:p>
    <w:p>
      <w:pPr>
        <w:pStyle w:val="ListBullet"/>
        <w:spacing w:after="30" w:line="240" w:lineRule="auto"/>
        <w:ind w:left="288" w:hanging="173"/>
      </w:pPr>
      <w:r>
        <w:rPr>
          <w:rFonts w:ascii="Aptos" w:hAnsi="Aptos"/>
          <w:color w:val="10161D"/>
          <w:sz w:val="19"/>
        </w:rPr>
        <w:t>Completed Florida nonprofit incorporation and secured an Employer Identification Number (EIN).</w:t>
      </w:r>
    </w:p>
    <w:p>
      <w:pPr>
        <w:pStyle w:val="ListBullet"/>
        <w:spacing w:after="30" w:line="240" w:lineRule="auto"/>
        <w:ind w:left="288" w:hanging="173"/>
      </w:pPr>
      <w:r>
        <w:rPr>
          <w:rFonts w:ascii="Aptos" w:hAnsi="Aptos"/>
          <w:color w:val="10161D"/>
          <w:sz w:val="19"/>
        </w:rPr>
        <w:t>Established a five-director governance framework and prepared bylaws, board resolutions, core policies, committee charters, financial controls, and organizational records for formal adoption.</w:t>
      </w:r>
    </w:p>
    <w:p>
      <w:pPr>
        <w:pStyle w:val="ListBullet"/>
        <w:spacing w:after="30" w:line="240" w:lineRule="auto"/>
        <w:ind w:left="288" w:hanging="173"/>
      </w:pPr>
      <w:r>
        <w:rPr>
          <w:rFonts w:ascii="Aptos" w:hAnsi="Aptos"/>
          <w:color w:val="10161D"/>
          <w:sz w:val="19"/>
        </w:rPr>
        <w:t>Convened community workshops and organizing meetings and created committee-specific WhatsApp channels as the primary system for updates, document distribution, requests, brainstorming, and follow-up.</w:t>
      </w:r>
    </w:p>
    <w:p>
      <w:pPr>
        <w:pStyle w:val="ListBullet"/>
        <w:spacing w:after="30" w:line="240" w:lineRule="auto"/>
        <w:ind w:left="288" w:hanging="173"/>
      </w:pPr>
      <w:r>
        <w:rPr>
          <w:rFonts w:ascii="Aptos" w:hAnsi="Aptos"/>
          <w:color w:val="10161D"/>
          <w:sz w:val="19"/>
        </w:rPr>
        <w:t>Built working relationships with Project LIFT, the 10th Street Community Center, CRA leadership, United Way leadership, Witham Field and aviation contacts, MartinArts, NAACP connections, churches, housing professionals, and other local partners.</w:t>
      </w:r>
    </w:p>
    <w:p>
      <w:pPr>
        <w:pStyle w:val="ListBullet"/>
        <w:spacing w:after="30" w:line="240" w:lineRule="auto"/>
        <w:ind w:left="288" w:hanging="173"/>
      </w:pPr>
      <w:r>
        <w:rPr>
          <w:rFonts w:ascii="Aptos" w:hAnsi="Aptos"/>
          <w:color w:val="10161D"/>
          <w:sz w:val="19"/>
        </w:rPr>
        <w:t>Developed a phased Project LIFT community-benefit partnership framework focused on outreach, business incubation, arts and cultural engagement, resource connection, and future written agreements.</w:t>
      </w:r>
    </w:p>
    <w:p>
      <w:pPr>
        <w:pStyle w:val="ListBullet"/>
        <w:spacing w:after="30" w:line="240" w:lineRule="auto"/>
        <w:ind w:left="288" w:hanging="173"/>
      </w:pPr>
      <w:r>
        <w:rPr>
          <w:rFonts w:ascii="Aptos" w:hAnsi="Aptos"/>
          <w:color w:val="10161D"/>
          <w:sz w:val="19"/>
        </w:rPr>
        <w:t>Advanced a homeowner-stability and probate education concept with Nikki Hawkins / Jumpstart Treasure Coast and a probate attorney for future East Stuart classes and a potential United Way presentation.</w:t>
      </w:r>
    </w:p>
    <w:p>
      <w:pPr>
        <w:pStyle w:val="ListBullet"/>
        <w:spacing w:after="30" w:line="240" w:lineRule="auto"/>
        <w:ind w:left="288" w:hanging="173"/>
      </w:pPr>
      <w:r>
        <w:rPr>
          <w:rFonts w:ascii="Aptos" w:hAnsi="Aptos"/>
          <w:color w:val="10161D"/>
          <w:sz w:val="19"/>
        </w:rPr>
        <w:t>Prepared youth, workforce, resource-clinic, oral-history, public-art, and cultural-corridor concepts with measurable participation and outcome tracking.</w:t>
      </w:r>
    </w:p>
    <w:p>
      <w:pPr>
        <w:pStyle w:val="ListBullet"/>
        <w:spacing w:after="30" w:line="240" w:lineRule="auto"/>
        <w:ind w:left="288" w:hanging="173"/>
      </w:pPr>
      <w:r>
        <w:rPr>
          <w:rFonts w:ascii="Aptos" w:hAnsi="Aptos"/>
          <w:color w:val="10161D"/>
          <w:sz w:val="19"/>
        </w:rPr>
        <w:t>Began exploring a Community Land Trust and land-stewardship pathway as a long-term anti-displacement and affordable-housing strategy.</w:t>
      </w:r>
    </w:p>
    <w:p>
      <w:pPr>
        <w:keepNext/>
        <w:spacing w:before="140" w:after="60"/>
        <w:pBdr>
          <w:bottom w:val="single" w:sz="8" w:space="3" w:color="A9B0B8"/>
        </w:pBdr>
      </w:pPr>
      <w:r>
        <w:rPr>
          <w:rFonts w:ascii="Aptos Display" w:hAnsi="Aptos Display"/>
          <w:b/>
          <w:color w:val="0D5CC6"/>
          <w:sz w:val="28"/>
        </w:rPr>
        <w:t>What Makes HOA Different</w:t>
      </w:r>
    </w:p>
    <w:p>
      <w:pPr>
        <w:spacing w:after="80" w:line="250" w:lineRule="auto"/>
      </w:pPr>
      <w:r>
        <w:rPr>
          <w:rFonts w:ascii="Aptos" w:hAnsi="Aptos"/>
          <w:i w:val="0"/>
          <w:color w:val="10161D"/>
          <w:sz w:val="20"/>
        </w:rPr>
        <w:t>HOA is not designed to become every service provider. It is designed to organize the community infrastructure that makes existing resources more visible, accessible, coordinated, accountable, and responsive.</w:t>
      </w:r>
    </w:p>
    <w:p>
      <w:pPr>
        <w:pStyle w:val="ListBullet"/>
        <w:spacing w:after="30" w:line="240" w:lineRule="auto"/>
        <w:ind w:left="288" w:hanging="173"/>
      </w:pPr>
      <w:r>
        <w:rPr>
          <w:rFonts w:ascii="Aptos" w:hAnsi="Aptos"/>
          <w:color w:val="10161D"/>
          <w:sz w:val="19"/>
        </w:rPr>
        <w:t>Resident engagement that produces written priorities and follow-up</w:t>
      </w:r>
    </w:p>
    <w:p>
      <w:pPr>
        <w:pStyle w:val="ListBullet"/>
        <w:spacing w:after="30" w:line="240" w:lineRule="auto"/>
        <w:ind w:left="288" w:hanging="173"/>
      </w:pPr>
      <w:r>
        <w:rPr>
          <w:rFonts w:ascii="Aptos" w:hAnsi="Aptos"/>
          <w:color w:val="10161D"/>
          <w:sz w:val="19"/>
        </w:rPr>
        <w:t>Resource navigation that connects people to qualified providers instead of making unsupported promises</w:t>
      </w:r>
    </w:p>
    <w:p>
      <w:pPr>
        <w:pStyle w:val="ListBullet"/>
        <w:spacing w:after="30" w:line="240" w:lineRule="auto"/>
        <w:ind w:left="288" w:hanging="173"/>
      </w:pPr>
      <w:r>
        <w:rPr>
          <w:rFonts w:ascii="Aptos" w:hAnsi="Aptos"/>
          <w:color w:val="10161D"/>
          <w:sz w:val="19"/>
        </w:rPr>
        <w:t>Partnership development that turns relationships into defined roles, written next steps, and measurable outcomes</w:t>
      </w:r>
    </w:p>
    <w:p>
      <w:pPr>
        <w:pStyle w:val="ListBullet"/>
        <w:spacing w:after="30" w:line="240" w:lineRule="auto"/>
        <w:ind w:left="288" w:hanging="173"/>
      </w:pPr>
      <w:r>
        <w:rPr>
          <w:rFonts w:ascii="Aptos" w:hAnsi="Aptos"/>
          <w:color w:val="10161D"/>
          <w:sz w:val="19"/>
        </w:rPr>
        <w:t>Opportunity pipelines connecting youth, residents, workers, entrepreneurs, artists, and homeowners to real systems</w:t>
      </w:r>
    </w:p>
    <w:p>
      <w:pPr>
        <w:pStyle w:val="ListBullet"/>
        <w:spacing w:after="30" w:line="240" w:lineRule="auto"/>
        <w:ind w:left="288" w:hanging="173"/>
      </w:pPr>
      <w:r>
        <w:rPr>
          <w:rFonts w:ascii="Aptos" w:hAnsi="Aptos"/>
          <w:color w:val="10161D"/>
          <w:sz w:val="19"/>
        </w:rPr>
        <w:t>Historic preservation and cultural storytelling that protect community identity and intergenerational memory</w:t>
      </w:r>
    </w:p>
    <w:p>
      <w:pPr>
        <w:pStyle w:val="ListBullet"/>
        <w:spacing w:after="30" w:line="240" w:lineRule="auto"/>
        <w:ind w:left="288" w:hanging="173"/>
      </w:pPr>
      <w:r>
        <w:rPr>
          <w:rFonts w:ascii="Aptos" w:hAnsi="Aptos"/>
          <w:color w:val="10161D"/>
          <w:sz w:val="19"/>
        </w:rPr>
        <w:t>Community-benefit tracking that documents who was reached, what was promised, what occurred, and what remains unresolved</w:t>
      </w:r>
    </w:p>
    <w:p>
      <w:pPr>
        <w:keepNext/>
        <w:spacing w:before="140" w:after="60"/>
        <w:pBdr>
          <w:bottom w:val="single" w:sz="8" w:space="3" w:color="A9B0B8"/>
        </w:pBdr>
      </w:pPr>
      <w:r>
        <w:rPr>
          <w:rFonts w:ascii="Aptos Display" w:hAnsi="Aptos Display"/>
          <w:b/>
          <w:color w:val="0D5CC6"/>
          <w:sz w:val="28"/>
        </w:rPr>
        <w:t>Core Program Pillars</w:t>
      </w:r>
    </w:p>
    <w:tbl>
      <w:tblPr>
        <w:tblW w:type="auto" w:w="0"/>
        <w:jc w:val="center"/>
        <w:tblLayout w:type="fixed"/>
        <w:tblLook w:firstColumn="1" w:firstRow="1" w:lastColumn="0" w:lastRow="0" w:noHBand="0" w:noVBand="1" w:val="04A0"/>
      </w:tblPr>
      <w:tblGrid>
        <w:gridCol w:w="5184"/>
        <w:gridCol w:w="5184"/>
      </w:tblGrid>
      <w:tr>
        <w:tc>
          <w:tcPr>
            <w:tcW w:type="dxa" w:w="3312"/>
            <w:shd w:fill="0D5CC6"/>
            <w:tcMar>
              <w:top w:w="100" w:type="dxa"/>
              <w:start w:w="105" w:type="dxa"/>
              <w:bottom w:w="100" w:type="dxa"/>
              <w:end w:w="105" w:type="dxa"/>
            </w:tcMar>
          </w:tcPr>
          <w:p>
            <w:r>
              <w:rPr>
                <w:rFonts w:ascii="Aptos" w:hAnsi="Aptos"/>
                <w:b/>
                <w:color w:val="FFFFFF"/>
                <w:sz w:val="16"/>
              </w:rPr>
              <w:t>COMMUNITY RESOURCE NAVIGATION &amp; FAMILY STABILITY</w:t>
            </w:r>
          </w:p>
        </w:tc>
        <w:tc>
          <w:tcPr>
            <w:tcW w:type="dxa" w:w="7200"/>
            <w:shd w:fill="F2F5F8"/>
            <w:tcMar>
              <w:top w:w="100" w:type="dxa"/>
              <w:start w:w="115" w:type="dxa"/>
              <w:bottom w:w="100" w:type="dxa"/>
              <w:end w:w="115" w:type="dxa"/>
            </w:tcMar>
          </w:tcPr>
          <w:p>
            <w:r>
              <w:rPr>
                <w:rFonts w:ascii="Aptos" w:hAnsi="Aptos"/>
                <w:color w:val="10161D"/>
                <w:sz w:val="18"/>
              </w:rPr>
              <w:t>Public resource clinics, trusted referrals, partner tables, application readiness, volunteer navigation, family-resource information, and documented follow-up.</w:t>
            </w:r>
          </w:p>
        </w:tc>
      </w:tr>
    </w:tbl>
    <w:p>
      <w:pPr>
        <w:spacing w:after="0"/>
      </w:pPr>
    </w:p>
    <w:tbl>
      <w:tblPr>
        <w:tblW w:type="auto" w:w="0"/>
        <w:jc w:val="center"/>
        <w:tblLayout w:type="fixed"/>
        <w:tblLook w:firstColumn="1" w:firstRow="1" w:lastColumn="0" w:lastRow="0" w:noHBand="0" w:noVBand="1" w:val="04A0"/>
      </w:tblPr>
      <w:tblGrid>
        <w:gridCol w:w="5184"/>
        <w:gridCol w:w="5184"/>
      </w:tblGrid>
      <w:tr>
        <w:tc>
          <w:tcPr>
            <w:tcW w:type="dxa" w:w="3312"/>
            <w:shd w:fill="0D5CC6"/>
            <w:tcMar>
              <w:top w:w="100" w:type="dxa"/>
              <w:start w:w="105" w:type="dxa"/>
              <w:bottom w:w="100" w:type="dxa"/>
              <w:end w:w="105" w:type="dxa"/>
            </w:tcMar>
          </w:tcPr>
          <w:p>
            <w:r>
              <w:rPr>
                <w:rFonts w:ascii="Aptos" w:hAnsi="Aptos"/>
                <w:b/>
                <w:color w:val="FFFFFF"/>
                <w:sz w:val="16"/>
              </w:rPr>
              <w:t>HOUSING, HOMEOWNER &amp; PROPERTY PRESERVATION</w:t>
            </w:r>
          </w:p>
        </w:tc>
        <w:tc>
          <w:tcPr>
            <w:tcW w:type="dxa" w:w="7200"/>
            <w:shd w:fill="F2F5F8"/>
            <w:tcMar>
              <w:top w:w="100" w:type="dxa"/>
              <w:start w:w="115" w:type="dxa"/>
              <w:bottom w:w="100" w:type="dxa"/>
              <w:end w:w="115" w:type="dxa"/>
            </w:tcMar>
          </w:tcPr>
          <w:p>
            <w:r>
              <w:rPr>
                <w:rFonts w:ascii="Aptos" w:hAnsi="Aptos"/>
                <w:color w:val="10161D"/>
                <w:sz w:val="18"/>
              </w:rPr>
              <w:t>Probate and heirs’ property education, senior homeowner outreach, repair-resource navigation, homestead and document-readiness education, legal-aid referrals, and anti-displacement support.</w:t>
            </w:r>
          </w:p>
        </w:tc>
      </w:tr>
    </w:tbl>
    <w:p>
      <w:pPr>
        <w:spacing w:after="0"/>
      </w:pPr>
    </w:p>
    <w:tbl>
      <w:tblPr>
        <w:tblW w:type="auto" w:w="0"/>
        <w:jc w:val="center"/>
        <w:tblLayout w:type="fixed"/>
        <w:tblLook w:firstColumn="1" w:firstRow="1" w:lastColumn="0" w:lastRow="0" w:noHBand="0" w:noVBand="1" w:val="04A0"/>
      </w:tblPr>
      <w:tblGrid>
        <w:gridCol w:w="5184"/>
        <w:gridCol w:w="5184"/>
      </w:tblGrid>
      <w:tr>
        <w:tc>
          <w:tcPr>
            <w:tcW w:type="dxa" w:w="3312"/>
            <w:shd w:fill="0D5CC6"/>
            <w:tcMar>
              <w:top w:w="100" w:type="dxa"/>
              <w:start w:w="105" w:type="dxa"/>
              <w:bottom w:w="100" w:type="dxa"/>
              <w:end w:w="105" w:type="dxa"/>
            </w:tcMar>
          </w:tcPr>
          <w:p>
            <w:r>
              <w:rPr>
                <w:rFonts w:ascii="Aptos" w:hAnsi="Aptos"/>
                <w:b/>
                <w:color w:val="FFFFFF"/>
                <w:sz w:val="16"/>
              </w:rPr>
              <w:t>YOUTH, WORKFORCE &amp; ECONOMIC OPPORTUNITY</w:t>
            </w:r>
          </w:p>
        </w:tc>
        <w:tc>
          <w:tcPr>
            <w:tcW w:type="dxa" w:w="7200"/>
            <w:shd w:fill="F2F5F8"/>
            <w:tcMar>
              <w:top w:w="100" w:type="dxa"/>
              <w:start w:w="115" w:type="dxa"/>
              <w:bottom w:w="100" w:type="dxa"/>
              <w:end w:w="115" w:type="dxa"/>
            </w:tcMar>
          </w:tcPr>
          <w:p>
            <w:r>
              <w:rPr>
                <w:rFonts w:ascii="Aptos" w:hAnsi="Aptos"/>
                <w:color w:val="10161D"/>
                <w:sz w:val="18"/>
              </w:rPr>
              <w:t>Youth leadership, mentorship, skilled-trades exposure, aviation and technical career pathways, workforce readiness, entrepreneurship education, business and vendor readiness, and opportunity events.</w:t>
            </w:r>
          </w:p>
        </w:tc>
      </w:tr>
    </w:tbl>
    <w:p>
      <w:pPr>
        <w:spacing w:after="0"/>
      </w:pPr>
    </w:p>
    <w:tbl>
      <w:tblPr>
        <w:tblW w:type="auto" w:w="0"/>
        <w:jc w:val="center"/>
        <w:tblLayout w:type="fixed"/>
        <w:tblLook w:firstColumn="1" w:firstRow="1" w:lastColumn="0" w:lastRow="0" w:noHBand="0" w:noVBand="1" w:val="04A0"/>
      </w:tblPr>
      <w:tblGrid>
        <w:gridCol w:w="5184"/>
        <w:gridCol w:w="5184"/>
      </w:tblGrid>
      <w:tr>
        <w:tc>
          <w:tcPr>
            <w:tcW w:type="dxa" w:w="3312"/>
            <w:shd w:fill="0D5CC6"/>
            <w:tcMar>
              <w:top w:w="100" w:type="dxa"/>
              <w:start w:w="105" w:type="dxa"/>
              <w:bottom w:w="100" w:type="dxa"/>
              <w:end w:w="105" w:type="dxa"/>
            </w:tcMar>
          </w:tcPr>
          <w:p>
            <w:r>
              <w:rPr>
                <w:rFonts w:ascii="Aptos" w:hAnsi="Aptos"/>
                <w:b/>
                <w:color w:val="FFFFFF"/>
                <w:sz w:val="16"/>
              </w:rPr>
              <w:t>HERITAGE, PUBLIC ART &amp; CULTURAL PRESERVATION</w:t>
            </w:r>
          </w:p>
        </w:tc>
        <w:tc>
          <w:tcPr>
            <w:tcW w:type="dxa" w:w="7200"/>
            <w:shd w:fill="F2F5F8"/>
            <w:tcMar>
              <w:top w:w="100" w:type="dxa"/>
              <w:start w:w="115" w:type="dxa"/>
              <w:bottom w:w="100" w:type="dxa"/>
              <w:end w:w="115" w:type="dxa"/>
            </w:tcMar>
          </w:tcPr>
          <w:p>
            <w:r>
              <w:rPr>
                <w:rFonts w:ascii="Aptos" w:hAnsi="Aptos"/>
                <w:color w:val="10161D"/>
                <w:sz w:val="18"/>
              </w:rPr>
              <w:t>Oral histories, historic photo collection, elder and church histories, public education, mural and cultural-corridor initiatives, youth arts engagement, and future historic-boundary documentation.</w:t>
            </w:r>
          </w:p>
        </w:tc>
      </w:tr>
    </w:tbl>
    <w:p>
      <w:pPr>
        <w:spacing w:after="0"/>
      </w:pPr>
    </w:p>
    <w:tbl>
      <w:tblPr>
        <w:tblW w:type="auto" w:w="0"/>
        <w:jc w:val="center"/>
        <w:tblLayout w:type="fixed"/>
        <w:tblLook w:firstColumn="1" w:firstRow="1" w:lastColumn="0" w:lastRow="0" w:noHBand="0" w:noVBand="1" w:val="04A0"/>
      </w:tblPr>
      <w:tblGrid>
        <w:gridCol w:w="5184"/>
        <w:gridCol w:w="5184"/>
      </w:tblGrid>
      <w:tr>
        <w:tc>
          <w:tcPr>
            <w:tcW w:type="dxa" w:w="3312"/>
            <w:shd w:fill="0D5CC6"/>
            <w:tcMar>
              <w:top w:w="100" w:type="dxa"/>
              <w:start w:w="105" w:type="dxa"/>
              <w:bottom w:w="100" w:type="dxa"/>
              <w:end w:w="105" w:type="dxa"/>
            </w:tcMar>
          </w:tcPr>
          <w:p>
            <w:r>
              <w:rPr>
                <w:rFonts w:ascii="Aptos" w:hAnsi="Aptos"/>
                <w:b/>
                <w:color w:val="FFFFFF"/>
                <w:sz w:val="16"/>
              </w:rPr>
              <w:t>CIVIC ENGAGEMENT &amp; COMMUNITY BENEFIT</w:t>
            </w:r>
          </w:p>
        </w:tc>
        <w:tc>
          <w:tcPr>
            <w:tcW w:type="dxa" w:w="7200"/>
            <w:shd w:fill="F2F5F8"/>
            <w:tcMar>
              <w:top w:w="100" w:type="dxa"/>
              <w:start w:w="115" w:type="dxa"/>
              <w:bottom w:w="100" w:type="dxa"/>
              <w:end w:w="115" w:type="dxa"/>
            </w:tcMar>
          </w:tcPr>
          <w:p>
            <w:r>
              <w:rPr>
                <w:rFonts w:ascii="Aptos" w:hAnsi="Aptos"/>
                <w:color w:val="10161D"/>
                <w:sz w:val="18"/>
              </w:rPr>
              <w:t>Resident leadership development, public information, community listening, tracking public and private commitments, community-benefit reporting, and disciplined advocacy consistent with 501(c)(3) rules.</w:t>
            </w:r>
          </w:p>
        </w:tc>
      </w:tr>
    </w:tbl>
    <w:p>
      <w:pPr>
        <w:spacing w:after="0"/>
      </w:pPr>
    </w:p>
    <w:tbl>
      <w:tblPr>
        <w:tblW w:type="auto" w:w="0"/>
        <w:jc w:val="center"/>
        <w:tblLayout w:type="fixed"/>
        <w:tblLook w:firstColumn="1" w:firstRow="1" w:lastColumn="0" w:lastRow="0" w:noHBand="0" w:noVBand="1" w:val="04A0"/>
      </w:tblPr>
      <w:tblGrid>
        <w:gridCol w:w="5184"/>
        <w:gridCol w:w="5184"/>
      </w:tblGrid>
      <w:tr>
        <w:tc>
          <w:tcPr>
            <w:tcW w:type="dxa" w:w="3312"/>
            <w:shd w:fill="0D5CC6"/>
            <w:tcMar>
              <w:top w:w="100" w:type="dxa"/>
              <w:start w:w="105" w:type="dxa"/>
              <w:bottom w:w="100" w:type="dxa"/>
              <w:end w:w="105" w:type="dxa"/>
            </w:tcMar>
          </w:tcPr>
          <w:p>
            <w:r>
              <w:rPr>
                <w:rFonts w:ascii="Aptos" w:hAnsi="Aptos"/>
                <w:b/>
                <w:color w:val="FFFFFF"/>
                <w:sz w:val="16"/>
              </w:rPr>
              <w:t>COMMUNITY LAND STEWARDSHIP &amp; LONG-TERM AFFORDABILITY</w:t>
            </w:r>
          </w:p>
        </w:tc>
        <w:tc>
          <w:tcPr>
            <w:tcW w:type="dxa" w:w="7200"/>
            <w:shd w:fill="F2F5F8"/>
            <w:tcMar>
              <w:top w:w="100" w:type="dxa"/>
              <w:start w:w="115" w:type="dxa"/>
              <w:bottom w:w="100" w:type="dxa"/>
              <w:end w:w="115" w:type="dxa"/>
            </w:tcMar>
          </w:tcPr>
          <w:p>
            <w:r>
              <w:rPr>
                <w:rFonts w:ascii="Aptos" w:hAnsi="Aptos"/>
                <w:color w:val="10161D"/>
                <w:sz w:val="18"/>
              </w:rPr>
              <w:t>Education, feasibility planning, partnerships, and governance development for a future community land trust or affiliated land-stewardship entity. No property acquisition or ground-lease activity will occur without Board, legal, tax, title, insurance, and financial review.</w:t>
            </w:r>
          </w:p>
        </w:tc>
      </w:tr>
    </w:tbl>
    <w:p>
      <w:pPr>
        <w:spacing w:after="0"/>
      </w:pPr>
    </w:p>
    <w:p>
      <w:pPr>
        <w:keepNext/>
        <w:spacing w:before="140" w:after="60"/>
        <w:pBdr>
          <w:bottom w:val="single" w:sz="8" w:space="3" w:color="A9B0B8"/>
        </w:pBdr>
      </w:pPr>
      <w:r>
        <w:rPr>
          <w:rFonts w:ascii="Aptos Display" w:hAnsi="Aptos Display"/>
          <w:b/>
          <w:color w:val="0D5CC6"/>
          <w:sz w:val="28"/>
        </w:rPr>
        <w:t>Immediate 90-Day Priorities</w:t>
      </w:r>
    </w:p>
    <w:p>
      <w:pPr>
        <w:spacing w:after="40" w:line="240" w:lineRule="auto"/>
        <w:ind w:left="360" w:hanging="360"/>
      </w:pPr>
      <w:r>
        <w:rPr>
          <w:rFonts w:ascii="Aptos" w:hAnsi="Aptos"/>
          <w:b/>
          <w:color w:val="0D5CC6"/>
          <w:sz w:val="19"/>
        </w:rPr>
        <w:t xml:space="preserve">1. </w:t>
      </w:r>
      <w:r>
        <w:rPr>
          <w:rFonts w:ascii="Aptos" w:hAnsi="Aptos"/>
          <w:color w:val="10161D"/>
          <w:sz w:val="19"/>
        </w:rPr>
        <w:t>Complete the organizing-document amendment and federal 501(c)(3) application preparation; address charitable-solicitation compliance and maintain accurate public status language.</w:t>
      </w:r>
    </w:p>
    <w:p>
      <w:pPr>
        <w:spacing w:after="40" w:line="240" w:lineRule="auto"/>
        <w:ind w:left="360" w:hanging="360"/>
      </w:pPr>
      <w:r>
        <w:rPr>
          <w:rFonts w:ascii="Aptos" w:hAnsi="Aptos"/>
          <w:b/>
          <w:color w:val="0D5CC6"/>
          <w:sz w:val="19"/>
        </w:rPr>
        <w:t xml:space="preserve">2. </w:t>
      </w:r>
      <w:r>
        <w:rPr>
          <w:rFonts w:ascii="Aptos" w:hAnsi="Aptos"/>
          <w:color w:val="10161D"/>
          <w:sz w:val="19"/>
        </w:rPr>
        <w:t>Hold the formal organizational Board meeting; adopt bylaws, resolutions, officer assignments, committee charters, conflict-of-interest rules, financial controls, youth-safety procedures, and records systems.</w:t>
      </w:r>
    </w:p>
    <w:p>
      <w:pPr>
        <w:spacing w:after="40" w:line="240" w:lineRule="auto"/>
        <w:ind w:left="360" w:hanging="360"/>
      </w:pPr>
      <w:r>
        <w:rPr>
          <w:rFonts w:ascii="Aptos" w:hAnsi="Aptos"/>
          <w:b/>
          <w:color w:val="0D5CC6"/>
          <w:sz w:val="19"/>
        </w:rPr>
        <w:t xml:space="preserve">3. </w:t>
      </w:r>
      <w:r>
        <w:rPr>
          <w:rFonts w:ascii="Aptos" w:hAnsi="Aptos"/>
          <w:color w:val="10161D"/>
          <w:sz w:val="19"/>
        </w:rPr>
        <w:t>Open and operate the HOA bank account with strict separation of organizational and personal funds, documented approvals, receipts, and regular financial reporting.</w:t>
      </w:r>
    </w:p>
    <w:p>
      <w:pPr>
        <w:spacing w:after="40" w:line="240" w:lineRule="auto"/>
        <w:ind w:left="360" w:hanging="360"/>
      </w:pPr>
      <w:r>
        <w:rPr>
          <w:rFonts w:ascii="Aptos" w:hAnsi="Aptos"/>
          <w:b/>
          <w:color w:val="0D5CC6"/>
          <w:sz w:val="19"/>
        </w:rPr>
        <w:t xml:space="preserve">4. </w:t>
      </w:r>
      <w:r>
        <w:rPr>
          <w:rFonts w:ascii="Aptos" w:hAnsi="Aptos"/>
          <w:color w:val="10161D"/>
          <w:sz w:val="19"/>
        </w:rPr>
        <w:t>Launch a founding sponsorship and fundraising campaign supported by a professional introduction package, program sponsorship options, and a measurable 90-day startup budget.</w:t>
      </w:r>
    </w:p>
    <w:p>
      <w:pPr>
        <w:spacing w:after="40" w:line="240" w:lineRule="auto"/>
        <w:ind w:left="360" w:hanging="360"/>
      </w:pPr>
      <w:r>
        <w:rPr>
          <w:rFonts w:ascii="Aptos" w:hAnsi="Aptos"/>
          <w:b/>
          <w:color w:val="0D5CC6"/>
          <w:sz w:val="19"/>
        </w:rPr>
        <w:t xml:space="preserve">5. </w:t>
      </w:r>
      <w:r>
        <w:rPr>
          <w:rFonts w:ascii="Aptos" w:hAnsi="Aptos"/>
          <w:color w:val="10161D"/>
          <w:sz w:val="19"/>
        </w:rPr>
        <w:t>Conduct the first homeowner-stability / probate and heirs’ property education class with qualified partners and document resident needs, referrals, and follow-up.</w:t>
      </w:r>
    </w:p>
    <w:p>
      <w:pPr>
        <w:spacing w:after="40" w:line="240" w:lineRule="auto"/>
        <w:ind w:left="360" w:hanging="360"/>
      </w:pPr>
      <w:r>
        <w:rPr>
          <w:rFonts w:ascii="Aptos" w:hAnsi="Aptos"/>
          <w:b/>
          <w:color w:val="0D5CC6"/>
          <w:sz w:val="19"/>
        </w:rPr>
        <w:t xml:space="preserve">6. </w:t>
      </w:r>
      <w:r>
        <w:rPr>
          <w:rFonts w:ascii="Aptos" w:hAnsi="Aptos"/>
          <w:color w:val="10161D"/>
          <w:sz w:val="19"/>
        </w:rPr>
        <w:t>Launch a Community Resource &amp; Opportunity Clinic or partner roundtable with sign-in, needs assessment, referrals, volunteer assignments, and an after-action report.</w:t>
      </w:r>
    </w:p>
    <w:p>
      <w:pPr>
        <w:spacing w:after="40" w:line="240" w:lineRule="auto"/>
        <w:ind w:left="360" w:hanging="360"/>
      </w:pPr>
      <w:r>
        <w:rPr>
          <w:rFonts w:ascii="Aptos" w:hAnsi="Aptos"/>
          <w:b/>
          <w:color w:val="0D5CC6"/>
          <w:sz w:val="19"/>
        </w:rPr>
        <w:t xml:space="preserve">7. </w:t>
      </w:r>
      <w:r>
        <w:rPr>
          <w:rFonts w:ascii="Aptos" w:hAnsi="Aptos"/>
          <w:color w:val="10161D"/>
          <w:sz w:val="19"/>
        </w:rPr>
        <w:t>Prepare the next Project LIFT working session and draft MOU scope around outreach, business incubation, arts and cultural engagement, resource connection, reporting, and phased facility access.</w:t>
      </w:r>
    </w:p>
    <w:p>
      <w:pPr>
        <w:spacing w:after="40" w:line="240" w:lineRule="auto"/>
        <w:ind w:left="360" w:hanging="360"/>
      </w:pPr>
      <w:r>
        <w:rPr>
          <w:rFonts w:ascii="Aptos" w:hAnsi="Aptos"/>
          <w:b/>
          <w:color w:val="0D5CC6"/>
          <w:sz w:val="19"/>
        </w:rPr>
        <w:t xml:space="preserve">8. </w:t>
      </w:r>
      <w:r>
        <w:rPr>
          <w:rFonts w:ascii="Aptos" w:hAnsi="Aptos"/>
          <w:color w:val="10161D"/>
          <w:sz w:val="19"/>
        </w:rPr>
        <w:t>Host or prepare a youth, workforce, skilled-trades, aviation, and entrepreneurship opportunity event with partner participation and measurable youth/resident outcomes.</w:t>
      </w:r>
    </w:p>
    <w:p>
      <w:pPr>
        <w:spacing w:after="40" w:line="240" w:lineRule="auto"/>
        <w:ind w:left="360" w:hanging="360"/>
      </w:pPr>
      <w:r>
        <w:rPr>
          <w:rFonts w:ascii="Aptos" w:hAnsi="Aptos"/>
          <w:b/>
          <w:color w:val="0D5CC6"/>
          <w:sz w:val="19"/>
        </w:rPr>
        <w:t xml:space="preserve">9. </w:t>
      </w:r>
      <w:r>
        <w:rPr>
          <w:rFonts w:ascii="Aptos" w:hAnsi="Aptos"/>
          <w:color w:val="10161D"/>
          <w:sz w:val="19"/>
        </w:rPr>
        <w:t>Begin structured oral-history, historic-photo, church-history, and public-art planning with releases, documentation standards, and community input.</w:t>
      </w:r>
    </w:p>
    <w:p>
      <w:pPr>
        <w:spacing w:after="40" w:line="240" w:lineRule="auto"/>
        <w:ind w:left="360" w:hanging="360"/>
      </w:pPr>
      <w:r>
        <w:rPr>
          <w:rFonts w:ascii="Aptos" w:hAnsi="Aptos"/>
          <w:b/>
          <w:color w:val="0D5CC6"/>
          <w:sz w:val="19"/>
        </w:rPr>
        <w:t xml:space="preserve">10. </w:t>
      </w:r>
      <w:r>
        <w:rPr>
          <w:rFonts w:ascii="Aptos" w:hAnsi="Aptos"/>
          <w:color w:val="10161D"/>
          <w:sz w:val="19"/>
        </w:rPr>
        <w:t>Develop a Community Land Trust feasibility roadmap identifying legal structure, resident governance, potential sites, public and private funding, acquisition strategy, and long-term affordability requirements.</w:t>
      </w:r>
    </w:p>
    <w:p>
      <w:pPr>
        <w:keepNext/>
        <w:spacing w:before="140" w:after="60"/>
        <w:pBdr>
          <w:bottom w:val="single" w:sz="8" w:space="3" w:color="A9B0B8"/>
        </w:pBdr>
      </w:pPr>
      <w:r>
        <w:rPr>
          <w:rFonts w:ascii="Aptos Display" w:hAnsi="Aptos Display"/>
          <w:b/>
          <w:color w:val="0D5CC6"/>
          <w:sz w:val="28"/>
        </w:rPr>
        <w:t>Funding and Partnership Priorities</w:t>
      </w:r>
    </w:p>
    <w:p>
      <w:pPr>
        <w:spacing w:after="80" w:line="250" w:lineRule="auto"/>
      </w:pPr>
      <w:r>
        <w:rPr>
          <w:rFonts w:ascii="Aptos" w:hAnsi="Aptos"/>
          <w:i w:val="0"/>
          <w:color w:val="10161D"/>
          <w:sz w:val="20"/>
        </w:rPr>
        <w:t>HOA is seeking partners who understand that strong programs require strong infrastructure. Early support will help the organization build compliance, governance, records, volunteer systems, program pilots, resident trust, and measurable outcomes from the beginning.</w:t>
      </w:r>
    </w:p>
    <w:tbl>
      <w:tblPr>
        <w:tblW w:type="auto" w:w="0"/>
        <w:jc w:val="center"/>
        <w:tblLayout w:type="fixed"/>
        <w:tblLook w:firstColumn="1" w:firstRow="1" w:lastColumn="0" w:lastRow="0" w:noHBand="0" w:noVBand="1" w:val="04A0"/>
      </w:tblPr>
      <w:tblGrid>
        <w:gridCol w:w="5184"/>
        <w:gridCol w:w="5184"/>
      </w:tblGrid>
      <w:tr>
        <w:tc>
          <w:tcPr>
            <w:tcW w:type="dxa" w:w="5184"/>
            <w:shd w:fill="0D5CC6"/>
            <w:tcMar>
              <w:top w:w="80" w:type="dxa"/>
              <w:start w:w="100" w:type="dxa"/>
              <w:bottom w:w="80" w:type="dxa"/>
              <w:end w:w="100" w:type="dxa"/>
            </w:tcMar>
          </w:tcPr>
          <w:p>
            <w:r>
              <w:rPr>
                <w:rFonts w:ascii="Aptos" w:hAnsi="Aptos"/>
                <w:b/>
                <w:color w:val="FFFFFF"/>
                <w:sz w:val="17"/>
              </w:rPr>
              <w:t>PRIORITY NEED</w:t>
            </w:r>
          </w:p>
        </w:tc>
        <w:tc>
          <w:tcPr>
            <w:tcW w:type="dxa" w:w="5184"/>
            <w:shd w:fill="0D5CC6"/>
            <w:tcMar>
              <w:top w:w="80" w:type="dxa"/>
              <w:start w:w="100" w:type="dxa"/>
              <w:bottom w:w="80" w:type="dxa"/>
              <w:end w:w="100" w:type="dxa"/>
            </w:tcMar>
          </w:tcPr>
          <w:p>
            <w:r>
              <w:rPr>
                <w:rFonts w:ascii="Aptos" w:hAnsi="Aptos"/>
                <w:b/>
                <w:color w:val="FFFFFF"/>
                <w:sz w:val="17"/>
              </w:rPr>
              <w:t>HOW PARTNERS CAN HELP</w:t>
            </w:r>
          </w:p>
        </w:tc>
      </w:tr>
      <w:tr>
        <w:tc>
          <w:tcPr>
            <w:tcW w:type="dxa" w:w="5184"/>
            <w:shd w:fill="F2F5F8"/>
            <w:tcMar>
              <w:top w:w="80" w:type="dxa"/>
              <w:start w:w="100" w:type="dxa"/>
              <w:bottom w:w="80" w:type="dxa"/>
              <w:end w:w="100" w:type="dxa"/>
            </w:tcMar>
          </w:tcPr>
          <w:p>
            <w:r>
              <w:rPr>
                <w:rFonts w:ascii="Aptos" w:hAnsi="Aptos"/>
                <w:b/>
                <w:color w:val="10161D"/>
                <w:sz w:val="18"/>
              </w:rPr>
              <w:t>Unrestricted institutional launch funding</w:t>
            </w:r>
          </w:p>
        </w:tc>
        <w:tc>
          <w:tcPr>
            <w:tcW w:type="dxa" w:w="5184"/>
            <w:shd w:fill="F2F5F8"/>
            <w:tcMar>
              <w:top w:w="80" w:type="dxa"/>
              <w:start w:w="100" w:type="dxa"/>
              <w:bottom w:w="80" w:type="dxa"/>
              <w:end w:w="100" w:type="dxa"/>
            </w:tcMar>
          </w:tcPr>
          <w:p>
            <w:r>
              <w:rPr>
                <w:rFonts w:ascii="Aptos" w:hAnsi="Aptos"/>
                <w:color w:val="10161D"/>
                <w:sz w:val="18"/>
              </w:rPr>
              <w:t>Support incorporation follow-through, IRS filing, insurance, banking, technology, communications, printing, records, and essential administrative capacity.</w:t>
            </w:r>
          </w:p>
        </w:tc>
      </w:tr>
      <w:tr>
        <w:tc>
          <w:tcPr>
            <w:tcW w:type="dxa" w:w="5184"/>
            <w:shd w:fill="FFFFFF"/>
            <w:tcMar>
              <w:top w:w="80" w:type="dxa"/>
              <w:start w:w="100" w:type="dxa"/>
              <w:bottom w:w="80" w:type="dxa"/>
              <w:end w:w="100" w:type="dxa"/>
            </w:tcMar>
          </w:tcPr>
          <w:p>
            <w:r>
              <w:rPr>
                <w:rFonts w:ascii="Aptos" w:hAnsi="Aptos"/>
                <w:b/>
                <w:color w:val="10161D"/>
                <w:sz w:val="18"/>
              </w:rPr>
              <w:t>Program sponsorships</w:t>
            </w:r>
          </w:p>
        </w:tc>
        <w:tc>
          <w:tcPr>
            <w:tcW w:type="dxa" w:w="5184"/>
            <w:shd w:fill="FFFFFF"/>
            <w:tcMar>
              <w:top w:w="80" w:type="dxa"/>
              <w:start w:w="100" w:type="dxa"/>
              <w:bottom w:w="80" w:type="dxa"/>
              <w:end w:w="100" w:type="dxa"/>
            </w:tcMar>
          </w:tcPr>
          <w:p>
            <w:r>
              <w:rPr>
                <w:rFonts w:ascii="Aptos" w:hAnsi="Aptos"/>
                <w:color w:val="10161D"/>
                <w:sz w:val="18"/>
              </w:rPr>
              <w:t>Sponsor resource clinics, youth and workforce events, homeowner-stability workshops, oral-history activities, public art, community meetings, or volunteer operations.</w:t>
            </w:r>
          </w:p>
        </w:tc>
      </w:tr>
      <w:tr>
        <w:tc>
          <w:tcPr>
            <w:tcW w:type="dxa" w:w="5184"/>
            <w:shd w:fill="F2F5F8"/>
            <w:tcMar>
              <w:top w:w="80" w:type="dxa"/>
              <w:start w:w="100" w:type="dxa"/>
              <w:bottom w:w="80" w:type="dxa"/>
              <w:end w:w="100" w:type="dxa"/>
            </w:tcMar>
          </w:tcPr>
          <w:p>
            <w:r>
              <w:rPr>
                <w:rFonts w:ascii="Aptos" w:hAnsi="Aptos"/>
                <w:b/>
                <w:color w:val="10161D"/>
                <w:sz w:val="18"/>
              </w:rPr>
              <w:t>Professional and technical assistance</w:t>
            </w:r>
          </w:p>
        </w:tc>
        <w:tc>
          <w:tcPr>
            <w:tcW w:type="dxa" w:w="5184"/>
            <w:shd w:fill="F2F5F8"/>
            <w:tcMar>
              <w:top w:w="80" w:type="dxa"/>
              <w:start w:w="100" w:type="dxa"/>
              <w:bottom w:w="80" w:type="dxa"/>
              <w:end w:w="100" w:type="dxa"/>
            </w:tcMar>
          </w:tcPr>
          <w:p>
            <w:r>
              <w:rPr>
                <w:rFonts w:ascii="Aptos" w:hAnsi="Aptos"/>
                <w:color w:val="10161D"/>
                <w:sz w:val="18"/>
              </w:rPr>
              <w:t>Provide legal, accounting, insurance, grant, evaluation, technology, data, historic-preservation, real-estate, housing, and organizational-development expertise.</w:t>
            </w:r>
          </w:p>
        </w:tc>
      </w:tr>
      <w:tr>
        <w:tc>
          <w:tcPr>
            <w:tcW w:type="dxa" w:w="5184"/>
            <w:shd w:fill="FFFFFF"/>
            <w:tcMar>
              <w:top w:w="80" w:type="dxa"/>
              <w:start w:w="100" w:type="dxa"/>
              <w:bottom w:w="80" w:type="dxa"/>
              <w:end w:w="100" w:type="dxa"/>
            </w:tcMar>
          </w:tcPr>
          <w:p>
            <w:r>
              <w:rPr>
                <w:rFonts w:ascii="Aptos" w:hAnsi="Aptos"/>
                <w:b/>
                <w:color w:val="10161D"/>
                <w:sz w:val="18"/>
              </w:rPr>
              <w:t>Facilities and in-kind resources</w:t>
            </w:r>
          </w:p>
        </w:tc>
        <w:tc>
          <w:tcPr>
            <w:tcW w:type="dxa" w:w="5184"/>
            <w:shd w:fill="FFFFFF"/>
            <w:tcMar>
              <w:top w:w="80" w:type="dxa"/>
              <w:start w:w="100" w:type="dxa"/>
              <w:bottom w:w="80" w:type="dxa"/>
              <w:end w:w="100" w:type="dxa"/>
            </w:tcMar>
          </w:tcPr>
          <w:p>
            <w:r>
              <w:rPr>
                <w:rFonts w:ascii="Aptos" w:hAnsi="Aptos"/>
                <w:color w:val="10161D"/>
                <w:sz w:val="18"/>
              </w:rPr>
              <w:t>Provide meeting rooms, printing, food, supplies, equipment, transportation support, outreach, media, photography, translation, or volunteer assistance.</w:t>
            </w:r>
          </w:p>
        </w:tc>
      </w:tr>
      <w:tr>
        <w:tc>
          <w:tcPr>
            <w:tcW w:type="dxa" w:w="5184"/>
            <w:shd w:fill="F2F5F8"/>
            <w:tcMar>
              <w:top w:w="80" w:type="dxa"/>
              <w:start w:w="100" w:type="dxa"/>
              <w:bottom w:w="80" w:type="dxa"/>
              <w:end w:w="100" w:type="dxa"/>
            </w:tcMar>
          </w:tcPr>
          <w:p>
            <w:r>
              <w:rPr>
                <w:rFonts w:ascii="Aptos" w:hAnsi="Aptos"/>
                <w:b/>
                <w:color w:val="10161D"/>
                <w:sz w:val="18"/>
              </w:rPr>
              <w:t>Grant and capacity partnerships</w:t>
            </w:r>
          </w:p>
        </w:tc>
        <w:tc>
          <w:tcPr>
            <w:tcW w:type="dxa" w:w="5184"/>
            <w:shd w:fill="F2F5F8"/>
            <w:tcMar>
              <w:top w:w="80" w:type="dxa"/>
              <w:start w:w="100" w:type="dxa"/>
              <w:bottom w:w="80" w:type="dxa"/>
              <w:end w:w="100" w:type="dxa"/>
            </w:tcMar>
          </w:tcPr>
          <w:p>
            <w:r>
              <w:rPr>
                <w:rFonts w:ascii="Aptos" w:hAnsi="Aptos"/>
                <w:color w:val="10161D"/>
                <w:sz w:val="18"/>
              </w:rPr>
              <w:t>Provide funder introductions, letters of support, joint applications, fiscal sponsorship when appropriate, data, program partners, and measurable collaboration.</w:t>
            </w:r>
          </w:p>
        </w:tc>
      </w:tr>
      <w:tr>
        <w:tc>
          <w:tcPr>
            <w:tcW w:type="dxa" w:w="5184"/>
            <w:shd w:fill="FFFFFF"/>
            <w:tcMar>
              <w:top w:w="80" w:type="dxa"/>
              <w:start w:w="100" w:type="dxa"/>
              <w:bottom w:w="80" w:type="dxa"/>
              <w:end w:w="100" w:type="dxa"/>
            </w:tcMar>
          </w:tcPr>
          <w:p>
            <w:r>
              <w:rPr>
                <w:rFonts w:ascii="Aptos" w:hAnsi="Aptos"/>
                <w:b/>
                <w:color w:val="10161D"/>
                <w:sz w:val="18"/>
              </w:rPr>
              <w:t>Land and housing strategy</w:t>
            </w:r>
          </w:p>
        </w:tc>
        <w:tc>
          <w:tcPr>
            <w:tcW w:type="dxa" w:w="5184"/>
            <w:shd w:fill="FFFFFF"/>
            <w:tcMar>
              <w:top w:w="80" w:type="dxa"/>
              <w:start w:w="100" w:type="dxa"/>
              <w:bottom w:w="80" w:type="dxa"/>
              <w:end w:w="100" w:type="dxa"/>
            </w:tcMar>
          </w:tcPr>
          <w:p>
            <w:r>
              <w:rPr>
                <w:rFonts w:ascii="Aptos" w:hAnsi="Aptos"/>
                <w:color w:val="10161D"/>
                <w:sz w:val="18"/>
              </w:rPr>
              <w:t>Support Community Land Trust feasibility, acquisition planning, due diligence, public subsidy strategy, affordable-housing expertise, and resident-centered governance development.</w:t>
            </w:r>
          </w:p>
        </w:tc>
      </w:tr>
    </w:tbl>
    <w:p>
      <w:pPr>
        <w:keepNext/>
        <w:spacing w:before="140" w:after="60"/>
        <w:pBdr>
          <w:bottom w:val="single" w:sz="8" w:space="3" w:color="A9B0B8"/>
        </w:pBdr>
      </w:pPr>
      <w:r>
        <w:rPr>
          <w:rFonts w:ascii="Aptos Display" w:hAnsi="Aptos Display"/>
          <w:b/>
          <w:color w:val="0D5CC6"/>
          <w:sz w:val="28"/>
        </w:rPr>
        <w:t>Our Accountability Commitments</w:t>
      </w:r>
    </w:p>
    <w:p>
      <w:pPr>
        <w:pStyle w:val="ListBullet"/>
        <w:spacing w:after="30" w:line="240" w:lineRule="auto"/>
        <w:ind w:left="288" w:hanging="173"/>
      </w:pPr>
      <w:r>
        <w:rPr>
          <w:rFonts w:ascii="Aptos" w:hAnsi="Aptos"/>
          <w:color w:val="10161D"/>
          <w:sz w:val="19"/>
        </w:rPr>
        <w:t>We will build an institution, not a one-person movement.</w:t>
      </w:r>
    </w:p>
    <w:p>
      <w:pPr>
        <w:pStyle w:val="ListBullet"/>
        <w:spacing w:after="30" w:line="240" w:lineRule="auto"/>
        <w:ind w:left="288" w:hanging="173"/>
      </w:pPr>
      <w:r>
        <w:rPr>
          <w:rFonts w:ascii="Aptos" w:hAnsi="Aptos"/>
          <w:color w:val="10161D"/>
          <w:sz w:val="19"/>
        </w:rPr>
        <w:t>The Board will govern; committees and advisors will organize, recommend, document, and execute only authorized work.</w:t>
      </w:r>
    </w:p>
    <w:p>
      <w:pPr>
        <w:pStyle w:val="ListBullet"/>
        <w:spacing w:after="30" w:line="240" w:lineRule="auto"/>
        <w:ind w:left="288" w:hanging="173"/>
      </w:pPr>
      <w:r>
        <w:rPr>
          <w:rFonts w:ascii="Aptos" w:hAnsi="Aptos"/>
          <w:color w:val="10161D"/>
          <w:sz w:val="19"/>
        </w:rPr>
        <w:t>We will collaborate with capable service providers instead of duplicating licensed or specialized services.</w:t>
      </w:r>
    </w:p>
    <w:p>
      <w:pPr>
        <w:pStyle w:val="ListBullet"/>
        <w:spacing w:after="30" w:line="240" w:lineRule="auto"/>
        <w:ind w:left="288" w:hanging="173"/>
      </w:pPr>
      <w:r>
        <w:rPr>
          <w:rFonts w:ascii="Aptos" w:hAnsi="Aptos"/>
          <w:color w:val="10161D"/>
          <w:sz w:val="19"/>
        </w:rPr>
        <w:t>We will not promise money, jobs, grants, repairs, housing, legal outcomes, contracts, facility access, or government action without written authority and verified capacity.</w:t>
      </w:r>
    </w:p>
    <w:p>
      <w:pPr>
        <w:pStyle w:val="ListBullet"/>
        <w:spacing w:after="30" w:line="240" w:lineRule="auto"/>
        <w:ind w:left="288" w:hanging="173"/>
      </w:pPr>
      <w:r>
        <w:rPr>
          <w:rFonts w:ascii="Aptos" w:hAnsi="Aptos"/>
          <w:color w:val="10161D"/>
          <w:sz w:val="19"/>
        </w:rPr>
        <w:t>We will protect resident, youth, family, health, housing, property, and oral-history information and report public outcomes responsibly.</w:t>
      </w:r>
    </w:p>
    <w:p>
      <w:pPr>
        <w:pStyle w:val="ListBullet"/>
        <w:spacing w:after="30" w:line="240" w:lineRule="auto"/>
        <w:ind w:left="288" w:hanging="173"/>
      </w:pPr>
      <w:r>
        <w:rPr>
          <w:rFonts w:ascii="Aptos" w:hAnsi="Aptos"/>
          <w:color w:val="10161D"/>
          <w:sz w:val="19"/>
        </w:rPr>
        <w:t>We will maintain clear records, financial controls, conflict-of-interest safeguards, written agreements, and measurable program reporting.</w:t>
      </w:r>
    </w:p>
    <w:p>
      <w:pPr>
        <w:pStyle w:val="ListBullet"/>
        <w:spacing w:after="30" w:line="240" w:lineRule="auto"/>
        <w:ind w:left="288" w:hanging="173"/>
      </w:pPr>
      <w:r>
        <w:rPr>
          <w:rFonts w:ascii="Aptos" w:hAnsi="Aptos"/>
          <w:color w:val="10161D"/>
          <w:sz w:val="19"/>
        </w:rPr>
        <w:t>We will preserve East Stuart’s heritage while building real pathways into education, workforce, entrepreneurship, housing stability, land stewardship, civic leadership, and opportunity.</w:t>
      </w:r>
    </w:p>
    <w:tbl>
      <w:tblPr>
        <w:tblW w:type="auto" w:w="0"/>
        <w:jc w:val="center"/>
        <w:tblLook w:firstColumn="1" w:firstRow="1" w:lastColumn="0" w:lastRow="0" w:noHBand="0" w:noVBand="1" w:val="04A0"/>
      </w:tblPr>
      <w:tblGrid>
        <w:gridCol w:w="10368"/>
      </w:tblGrid>
      <w:tr>
        <w:tc>
          <w:tcPr>
            <w:tcW w:type="dxa" w:w="10368"/>
            <w:shd w:fill="10161D"/>
            <w:tcMar>
              <w:top w:w="180" w:type="dxa"/>
              <w:start w:w="200" w:type="dxa"/>
              <w:bottom w:w="180" w:type="dxa"/>
              <w:end w:w="200" w:type="dxa"/>
            </w:tcMar>
          </w:tcPr>
          <w:p>
            <w:pPr>
              <w:jc w:val="center"/>
            </w:pPr>
            <w:r>
              <w:rPr>
                <w:rFonts w:ascii="Aptos" w:hAnsi="Aptos"/>
                <w:b/>
                <w:color w:val="A9B0B8"/>
                <w:sz w:val="18"/>
              </w:rPr>
              <w:t>CORE MESSAGE</w:t>
            </w:r>
          </w:p>
          <w:p>
            <w:pPr>
              <w:spacing w:after="80"/>
              <w:jc w:val="center"/>
            </w:pPr>
            <w:r>
              <w:rPr>
                <w:rFonts w:ascii="Aptos Display" w:hAnsi="Aptos Display"/>
                <w:b/>
                <w:color w:val="FFFFFF"/>
                <w:sz w:val="30"/>
              </w:rPr>
              <w:t>East Stuart is not against progress.</w:t>
            </w:r>
          </w:p>
          <w:p>
            <w:pPr>
              <w:spacing w:after="80"/>
              <w:jc w:val="center"/>
            </w:pPr>
            <w:r>
              <w:rPr>
                <w:rFonts w:ascii="Aptos" w:hAnsi="Aptos"/>
                <w:color w:val="FFFFFF"/>
                <w:sz w:val="20"/>
              </w:rPr>
              <w:t>East Stuart is asking for structure, access, communication, rootedness, and measurable community benefit.</w:t>
            </w:r>
          </w:p>
          <w:p>
            <w:pPr>
              <w:spacing w:after="0"/>
              <w:jc w:val="center"/>
            </w:pPr>
            <w:r>
              <w:rPr>
                <w:rFonts w:ascii="Aptos" w:hAnsi="Aptos"/>
                <w:b/>
                <w:color w:val="4DA3FF"/>
                <w:sz w:val="21"/>
              </w:rPr>
              <w:t>Heritage &amp; Opportunity Alliance exists to help make that possible.</w:t>
            </w:r>
          </w:p>
        </w:tc>
      </w:tr>
    </w:tbl>
    <w:p>
      <w:pPr>
        <w:keepNext/>
        <w:spacing w:before="140" w:after="60"/>
        <w:pBdr>
          <w:bottom w:val="single" w:sz="8" w:space="3" w:color="A9B0B8"/>
        </w:pBdr>
      </w:pPr>
      <w:r>
        <w:rPr>
          <w:rFonts w:ascii="Aptos Display" w:hAnsi="Aptos Display"/>
          <w:b/>
          <w:color w:val="0D5CC6"/>
          <w:sz w:val="28"/>
        </w:rPr>
        <w:t>Invitation to Partner</w:t>
      </w:r>
    </w:p>
    <w:p>
      <w:pPr>
        <w:spacing w:after="80" w:line="250" w:lineRule="auto"/>
      </w:pPr>
      <w:r>
        <w:rPr>
          <w:rFonts w:ascii="Aptos" w:hAnsi="Aptos"/>
          <w:i w:val="0"/>
          <w:color w:val="10161D"/>
          <w:sz w:val="20"/>
        </w:rPr>
        <w:t>HOA welcomes disciplined partners who are prepared to listen, define roles, share resources, protect community trust, and help produce measurable outcomes. The immediate goal is to convert community relationships into a durable operating system that can serve East Stuart now and expand responsibly over time.</w:t>
      </w:r>
    </w:p>
    <w:p>
      <w:pPr>
        <w:spacing w:before="120" w:after="0"/>
        <w:jc w:val="center"/>
      </w:pPr>
      <w:r>
        <w:rPr>
          <w:rFonts w:ascii="Aptos Display" w:hAnsi="Aptos Display"/>
          <w:b/>
          <w:color w:val="0D5CC6"/>
          <w:sz w:val="26"/>
        </w:rPr>
        <w:t>HERITAGE &amp; OPPORTUNITY ALLIANCE, INC.</w:t>
      </w:r>
    </w:p>
    <w:p>
      <w:pPr>
        <w:spacing w:after="0"/>
        <w:jc w:val="center"/>
      </w:pPr>
      <w:r>
        <w:rPr>
          <w:rFonts w:ascii="Aptos" w:hAnsi="Aptos"/>
          <w:color w:val="4B5560"/>
          <w:sz w:val="19"/>
        </w:rPr>
        <w:t>Voice of East Stuart  |  Founding Local Initiative  |  voiceofeaststuart@gmail.com</w:t>
      </w:r>
    </w:p>
    <w:sectPr w:rsidR="00FC693F" w:rsidRPr="0006063C" w:rsidSect="00034616">
      <w:headerReference w:type="default" r:id="rId9"/>
      <w:footerReference w:type="default" r:id="rId10"/>
      <w:pgSz w:w="12240" w:h="15840"/>
      <w:pgMar w:top="792" w:right="936" w:bottom="792" w:left="936"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B5560"/>
        <w:sz w:val="15"/>
      </w:rPr>
      <w:t xml:space="preserve">Preserving Heritage. Building Opportunity. Organizing Community Power.  |  voiceofeaststuart@gmail.com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8" w:space="3" w:color="0D5CC6"/>
      </w:pBdr>
    </w:pPr>
    <w:r>
      <w:rPr>
        <w:rFonts w:ascii="Aptos" w:hAnsi="Aptos"/>
        <w:b/>
        <w:color w:val="0D5CC6"/>
        <w:sz w:val="16"/>
      </w:rPr>
      <w:t>HERITAGE &amp; OPPORTUNITY ALLIANCE, INC.  |  VOICE OF EAST STUART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016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0161D"/>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0161D"/>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Heritage &amp; Opportunity Alliance, Inc. - Updated Executive Overview</dc:title>
  <dc:subject>Institutional launch overview for HOA and Voice of East Stuart</dc:subject>
  <dc:creator>Heritage &amp; Opportunity Alliance, Inc.</dc:creator>
  <cp:keywords>HOA, East Stuart, nonprofit, community development, heritage, opportunity</cp:keywords>
  <dc:description>generated by python-docx</dc:description>
  <cp:lastModifiedBy/>
  <cp:revision>1</cp:revision>
  <dcterms:created xsi:type="dcterms:W3CDTF">2013-12-23T23:15:00Z</dcterms:created>
  <dcterms:modified xsi:type="dcterms:W3CDTF">2013-12-23T23:15:00Z</dcterms:modified>
  <cp:category/>
</cp:coreProperties>
</file>