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2F1F0" w14:textId="77777777" w:rsidR="00D41D8B" w:rsidRPr="009C0039" w:rsidRDefault="00492085">
      <w:pPr>
        <w:rPr>
          <w:b/>
        </w:rPr>
      </w:pPr>
      <w:r w:rsidRPr="009C0039">
        <w:rPr>
          <w:b/>
        </w:rPr>
        <w:t>Headlines:</w:t>
      </w:r>
    </w:p>
    <w:p w14:paraId="3B48849D" w14:textId="77777777" w:rsidR="00492085" w:rsidRDefault="00492085">
      <w:r>
        <w:t>Trump faces trade war negotiations during consequential G20 meetings</w:t>
      </w:r>
    </w:p>
    <w:p w14:paraId="681461C2" w14:textId="77777777" w:rsidR="00492085" w:rsidRDefault="00492085">
      <w:r>
        <w:t xml:space="preserve">Link: </w:t>
      </w:r>
      <w:hyperlink r:id="rId7" w:history="1">
        <w:r>
          <w:rPr>
            <w:rStyle w:val="Hyperlink"/>
          </w:rPr>
          <w:t>https://www.cnn.com/2019/06/26/politics/donald-trump-g20-trade-china-japan/index.html</w:t>
        </w:r>
      </w:hyperlink>
    </w:p>
    <w:p w14:paraId="70F750CD" w14:textId="77777777" w:rsidR="00492085" w:rsidRDefault="00492085"/>
    <w:p w14:paraId="5AE3B5F1" w14:textId="77777777" w:rsidR="00492085" w:rsidRDefault="00492085">
      <w:r>
        <w:t xml:space="preserve">Fed Chief Jerome Powell warns against policy bending to ‘short-term political interests’ </w:t>
      </w:r>
    </w:p>
    <w:p w14:paraId="6CC7C6EC" w14:textId="77777777" w:rsidR="00492085" w:rsidRDefault="00492085">
      <w:r>
        <w:t xml:space="preserve">Link: </w:t>
      </w:r>
      <w:hyperlink r:id="rId8" w:history="1">
        <w:r>
          <w:rPr>
            <w:rStyle w:val="Hyperlink"/>
          </w:rPr>
          <w:t>https://www.cnbc.com/2019/06/25/feds-powell-warns-against-short-term-political-interests.html</w:t>
        </w:r>
      </w:hyperlink>
    </w:p>
    <w:p w14:paraId="47274CE9" w14:textId="77777777" w:rsidR="00492085" w:rsidRDefault="00492085"/>
    <w:p w14:paraId="49BE662E" w14:textId="77777777" w:rsidR="00492085" w:rsidRDefault="00492085">
      <w:r>
        <w:t xml:space="preserve">The Fed is doing something new: listening to low-income workers </w:t>
      </w:r>
    </w:p>
    <w:p w14:paraId="2862BCE4" w14:textId="77777777" w:rsidR="00492085" w:rsidRDefault="00492085">
      <w:r>
        <w:t xml:space="preserve">Link: </w:t>
      </w:r>
      <w:hyperlink r:id="rId9" w:history="1">
        <w:r>
          <w:rPr>
            <w:rStyle w:val="Hyperlink"/>
          </w:rPr>
          <w:t>https://www.vox.com/2019/6/26/18759628/federal-reserve-interest-rates-jobs-inflation-workers</w:t>
        </w:r>
      </w:hyperlink>
    </w:p>
    <w:p w14:paraId="6EF549EC" w14:textId="77777777" w:rsidR="009C0039" w:rsidRDefault="009C0039"/>
    <w:p w14:paraId="5321CD6E" w14:textId="77777777" w:rsidR="009C0039" w:rsidRDefault="009C0039">
      <w:r>
        <w:t>Tech stocks get crushed as Powell tempers rate cut hopes</w:t>
      </w:r>
    </w:p>
    <w:p w14:paraId="52D2E7FA" w14:textId="77777777" w:rsidR="009C0039" w:rsidRDefault="009C0039">
      <w:r>
        <w:t xml:space="preserve">Link: </w:t>
      </w:r>
      <w:hyperlink r:id="rId10" w:history="1">
        <w:r>
          <w:rPr>
            <w:rStyle w:val="Hyperlink"/>
          </w:rPr>
          <w:t>https://www.cnbc.com/video/2019/06/25/tech-stocks-get-crushed-as-powell-tempers-rate-cut-hopes.html</w:t>
        </w:r>
      </w:hyperlink>
    </w:p>
    <w:p w14:paraId="001A34B2" w14:textId="77777777" w:rsidR="009C0039" w:rsidRDefault="009C0039"/>
    <w:p w14:paraId="08644019" w14:textId="77777777" w:rsidR="009C0039" w:rsidRDefault="009C0039"/>
    <w:p w14:paraId="08FBB1BD" w14:textId="77777777" w:rsidR="009C0039" w:rsidRDefault="009C0039">
      <w:pPr>
        <w:rPr>
          <w:b/>
        </w:rPr>
      </w:pPr>
      <w:r>
        <w:rPr>
          <w:b/>
        </w:rPr>
        <w:t>Definitions:</w:t>
      </w:r>
    </w:p>
    <w:p w14:paraId="3ADE596C" w14:textId="77777777" w:rsidR="009C0039" w:rsidRDefault="009C0039">
      <w:pPr>
        <w:rPr>
          <w:b/>
        </w:rPr>
      </w:pPr>
      <w:r>
        <w:rPr>
          <w:b/>
        </w:rPr>
        <w:t>Today:</w:t>
      </w:r>
    </w:p>
    <w:p w14:paraId="7F195089" w14:textId="77777777" w:rsidR="009C0039" w:rsidRDefault="009C0039">
      <w:pPr>
        <w:rPr>
          <w:b/>
        </w:rPr>
      </w:pPr>
      <w:r>
        <w:rPr>
          <w:b/>
        </w:rPr>
        <w:t xml:space="preserve">ETF </w:t>
      </w:r>
      <w:r w:rsidRPr="009C0039">
        <w:t>- a basket of securities that trade on an exchange, just like a stock.</w:t>
      </w:r>
      <w:r w:rsidRPr="009C0039">
        <w:rPr>
          <w:rFonts w:ascii="Arial" w:hAnsi="Arial" w:cs="Arial"/>
          <w:color w:val="111111"/>
          <w:sz w:val="26"/>
          <w:szCs w:val="26"/>
          <w:shd w:val="clear" w:color="auto" w:fill="FFFFFF"/>
        </w:rPr>
        <w:t xml:space="preserve"> </w:t>
      </w:r>
      <w:r w:rsidRPr="009C0039">
        <w:t>Can contain all types of investments including stocks, commodities, or bonds; some offer U.S. only holdings, while others are international. BlackRock offers a variety of ETFs called iShares.</w:t>
      </w:r>
      <w:r>
        <w:rPr>
          <w:b/>
        </w:rPr>
        <w:t xml:space="preserve"> </w:t>
      </w:r>
    </w:p>
    <w:p w14:paraId="09339BF2" w14:textId="77777777" w:rsidR="009C0039" w:rsidRDefault="009C0039">
      <w:pPr>
        <w:rPr>
          <w:b/>
        </w:rPr>
      </w:pPr>
    </w:p>
    <w:p w14:paraId="1BF25647" w14:textId="77777777" w:rsidR="009C0039" w:rsidRDefault="009C0039">
      <w:pPr>
        <w:rPr>
          <w:b/>
        </w:rPr>
      </w:pPr>
      <w:r>
        <w:rPr>
          <w:b/>
        </w:rPr>
        <w:t>Past terms:</w:t>
      </w:r>
    </w:p>
    <w:p w14:paraId="3AE4A095" w14:textId="77777777" w:rsidR="00492085" w:rsidRDefault="009C0039">
      <w:pPr>
        <w:rPr>
          <w:b/>
        </w:rPr>
      </w:pPr>
      <w:r>
        <w:rPr>
          <w:b/>
        </w:rPr>
        <w:t xml:space="preserve">Stock - </w:t>
      </w:r>
      <w:r w:rsidRPr="009C0039">
        <w:rPr>
          <w:b/>
        </w:rPr>
        <w:t> </w:t>
      </w:r>
      <w:r w:rsidRPr="009C0039">
        <w:t>a type of security that signifies proportionate ownership in the issuing </w:t>
      </w:r>
      <w:hyperlink r:id="rId11" w:history="1">
        <w:r w:rsidRPr="009C0039">
          <w:rPr>
            <w:rStyle w:val="Hyperlink"/>
          </w:rPr>
          <w:t>corporation</w:t>
        </w:r>
      </w:hyperlink>
      <w:r w:rsidRPr="009C0039">
        <w:t>. This entitles the stockholder to that proportion of the corporation's assets and earnings.</w:t>
      </w:r>
    </w:p>
    <w:p w14:paraId="6FF15635" w14:textId="77777777" w:rsidR="009C0039" w:rsidRPr="009C0039" w:rsidRDefault="009C0039">
      <w:r>
        <w:rPr>
          <w:b/>
        </w:rPr>
        <w:t xml:space="preserve">Bond- </w:t>
      </w:r>
      <w:r w:rsidRPr="009C0039">
        <w:rPr>
          <w:b/>
        </w:rPr>
        <w:t> </w:t>
      </w:r>
      <w:r w:rsidRPr="009C0039">
        <w:t>a </w:t>
      </w:r>
      <w:hyperlink r:id="rId12" w:history="1">
        <w:r w:rsidRPr="009C0039">
          <w:rPr>
            <w:rStyle w:val="Hyperlink"/>
          </w:rPr>
          <w:t>fixed income instrument</w:t>
        </w:r>
      </w:hyperlink>
      <w:r w:rsidRPr="009C0039">
        <w:t> that represents a loan made by an investor to a borrower (typically corporate or governmental). A bond could be thought of as an I.O.U. between the </w:t>
      </w:r>
      <w:hyperlink r:id="rId13" w:history="1">
        <w:r w:rsidRPr="009C0039">
          <w:rPr>
            <w:rStyle w:val="Hyperlink"/>
          </w:rPr>
          <w:t>lender</w:t>
        </w:r>
      </w:hyperlink>
      <w:r w:rsidRPr="009C0039">
        <w:t> and borrower that includes the details of the loan and its payments</w:t>
      </w:r>
    </w:p>
    <w:p w14:paraId="1885268B" w14:textId="77777777" w:rsidR="009C0039" w:rsidRPr="009C0039" w:rsidRDefault="009C0039">
      <w:r>
        <w:rPr>
          <w:b/>
        </w:rPr>
        <w:t xml:space="preserve">Dividend </w:t>
      </w:r>
      <w:r w:rsidRPr="009C0039">
        <w:t>- the distribution of reward from a portion of the company's earnings and is paid to a class of its shareholders. Dividends can be issued as cash payments, as shares of stock, or other property, though cash dividends are the most common</w:t>
      </w:r>
    </w:p>
    <w:p w14:paraId="2DCBFC1E" w14:textId="77777777" w:rsidR="007B7C37" w:rsidRDefault="007E575A" w:rsidP="007B7C37">
      <w:pPr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 w:rsidRPr="007E575A">
        <w:rPr>
          <w:rFonts w:ascii="Arial" w:hAnsi="Arial" w:cs="Arial"/>
          <w:b/>
          <w:color w:val="222222"/>
          <w:sz w:val="26"/>
          <w:szCs w:val="26"/>
          <w:shd w:val="clear" w:color="auto" w:fill="FFFFFF"/>
        </w:rPr>
        <w:t>Preferred stock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- 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a class of ownership of a company that allows shareholders to get a larger dividend, and that dividend is often guaranteed. Holders of </w:t>
      </w:r>
      <w:hyperlink r:id="rId14" w:history="1">
        <w:r>
          <w:rPr>
            <w:rStyle w:val="Hyperlink"/>
            <w:rFonts w:ascii="Arial" w:hAnsi="Arial" w:cs="Arial"/>
            <w:color w:val="246FC8"/>
            <w:sz w:val="26"/>
            <w:szCs w:val="26"/>
            <w:shd w:val="clear" w:color="auto" w:fill="FFFFFF"/>
          </w:rPr>
          <w:t>preferred stock</w:t>
        </w:r>
      </w:hyperlink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do not have voting rights, but can receive speci</w:t>
      </w:r>
      <w:bookmarkStart w:id="0" w:name="_GoBack"/>
      <w:bookmarkEnd w:id="0"/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al status if a company is going into insolvency. </w:t>
      </w:r>
    </w:p>
    <w:p w14:paraId="04FAE6A6" w14:textId="6781F562" w:rsidR="007B7C37" w:rsidRDefault="007B7C37" w:rsidP="007B7C37">
      <w:pPr>
        <w:rPr>
          <w:rFonts w:ascii="Arial" w:hAnsi="Arial" w:cs="Arial"/>
          <w:color w:val="222222"/>
          <w:sz w:val="26"/>
          <w:szCs w:val="26"/>
        </w:rPr>
      </w:pPr>
      <w:r w:rsidRPr="007B7C37">
        <w:rPr>
          <w:rFonts w:ascii="Arial" w:hAnsi="Arial" w:cs="Arial"/>
          <w:b/>
          <w:bCs/>
          <w:color w:val="222222"/>
          <w:sz w:val="26"/>
          <w:szCs w:val="26"/>
        </w:rPr>
        <w:t>Index Funds</w:t>
      </w:r>
      <w:r>
        <w:rPr>
          <w:rFonts w:ascii="Arial" w:hAnsi="Arial" w:cs="Arial"/>
          <w:b/>
          <w:bCs/>
          <w:color w:val="222222"/>
        </w:rPr>
        <w:t xml:space="preserve"> - </w:t>
      </w:r>
      <w:r>
        <w:rPr>
          <w:rFonts w:ascii="Arial" w:hAnsi="Arial" w:cs="Arial"/>
          <w:color w:val="222222"/>
          <w:sz w:val="26"/>
          <w:szCs w:val="26"/>
        </w:rPr>
        <w:t>a mutual fund, sometimes trading as an ETF, that allows an individual to "invest" in an index, such as the S&amp;P 500. </w:t>
      </w:r>
    </w:p>
    <w:p w14:paraId="6480A27F" w14:textId="60DE6BD1" w:rsidR="007B7C37" w:rsidRDefault="007B7C37" w:rsidP="007B7C37">
      <w:hyperlink r:id="rId15" w:history="1">
        <w:r w:rsidRPr="007B7C37">
          <w:rPr>
            <w:rStyle w:val="Hyperlink"/>
            <w:rFonts w:ascii="Arial" w:hAnsi="Arial" w:cs="Arial"/>
            <w:b/>
            <w:color w:val="000000" w:themeColor="text1"/>
            <w:sz w:val="26"/>
            <w:szCs w:val="26"/>
            <w:u w:val="none"/>
            <w:shd w:val="clear" w:color="auto" w:fill="FFFFFF"/>
          </w:rPr>
          <w:t>stockbroker</w:t>
        </w:r>
      </w:hyperlink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 xml:space="preserve">- </w:t>
      </w: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an institution, or individual, that executes buy-or-sell orders on behalf of a customer. Stockbrokers settle trades, making sure cash or the security gets to the right party by a certain deadline against their client's custody account. There are many different types of </w:t>
      </w:r>
      <w:hyperlink r:id="rId16" w:history="1">
        <w:r>
          <w:rPr>
            <w:rStyle w:val="Hyperlink"/>
            <w:rFonts w:ascii="Arial" w:hAnsi="Arial" w:cs="Arial"/>
            <w:color w:val="246FC8"/>
            <w:sz w:val="26"/>
            <w:szCs w:val="26"/>
            <w:shd w:val="clear" w:color="auto" w:fill="FFFFFF"/>
          </w:rPr>
          <w:t>stock trades</w:t>
        </w:r>
      </w:hyperlink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 that you can submit to your stockbroker but be careful about becoming over-reliant on them. </w:t>
      </w:r>
    </w:p>
    <w:p w14:paraId="3FED59ED" w14:textId="77777777" w:rsidR="007B7C37" w:rsidRPr="007B7C37" w:rsidRDefault="007B7C37" w:rsidP="007B7C37">
      <w:pPr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</w:p>
    <w:p w14:paraId="4F4CA882" w14:textId="77777777" w:rsidR="007B7C37" w:rsidRDefault="007B7C37" w:rsidP="007E575A"/>
    <w:p w14:paraId="47245C91" w14:textId="77777777" w:rsidR="00492085" w:rsidRDefault="00492085"/>
    <w:sectPr w:rsidR="004920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6B10F" w14:textId="77777777" w:rsidR="00CE6A31" w:rsidRDefault="00CE6A31">
      <w:r>
        <w:separator/>
      </w:r>
    </w:p>
  </w:endnote>
  <w:endnote w:type="continuationSeparator" w:id="0">
    <w:p w14:paraId="04EE1DE0" w14:textId="77777777" w:rsidR="00CE6A31" w:rsidRDefault="00CE6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45FCF0A-3EB1-4C4A-933F-080DA126BD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72ED7B1-CA2E-6546-9624-2E49630B87A5}"/>
    <w:embedBold r:id="rId3" w:fontKey="{5ED84156-1A5C-BF4E-8F4C-0C52D09050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334207C0-A1BF-7846-9437-DE75328140F2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5" w:fontKey="{B0499C98-C4EF-BA44-A52D-282D1384275E}"/>
  </w:font>
  <w:font w:name="BLK Fort">
    <w:altName w:val="Cambria"/>
    <w:panose1 w:val="020B0503030202060203"/>
    <w:charset w:val="00"/>
    <w:family w:val="swiss"/>
    <w:pitch w:val="variable"/>
    <w:sig w:usb0="00000007" w:usb1="00000001" w:usb2="00000000" w:usb3="00000000" w:csb0="00000093" w:csb1="00000000"/>
    <w:embedRegular r:id="rId6" w:fontKey="{714AE0C8-9B59-A24D-9A01-C468E18722DE}"/>
    <w:embedBold r:id="rId7" w:fontKey="{AE5352B2-E535-154D-BF87-8AACE4DD335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6CEF385D-CF93-7A4B-A05A-B40EDA8749A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07F1B62F-67C2-8345-8552-FC22F1E50C7A}"/>
    <w:embedBold r:id="rId10" w:fontKey="{7D401C74-0EE9-704B-83E1-D9DFBF3430E0}"/>
  </w:font>
  <w:font w:name="BLK Fort Extrabold">
    <w:altName w:val="Cambria"/>
    <w:panose1 w:val="020B0903030202060203"/>
    <w:charset w:val="00"/>
    <w:family w:val="swiss"/>
    <w:pitch w:val="variable"/>
    <w:sig w:usb0="00000007" w:usb1="00000001" w:usb2="00000000" w:usb3="00000000" w:csb0="00000093" w:csb1="00000000"/>
    <w:embedRegular r:id="rId11" w:fontKey="{068845CE-BFB5-6C49-BEE4-5FE601C604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BAA3D" w14:textId="77777777" w:rsidR="00CE6A31" w:rsidRDefault="00CE6A31">
      <w:r>
        <w:separator/>
      </w:r>
    </w:p>
  </w:footnote>
  <w:footnote w:type="continuationSeparator" w:id="0">
    <w:p w14:paraId="4B031865" w14:textId="77777777" w:rsidR="00CE6A31" w:rsidRDefault="00CE6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AE0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A6171"/>
    <w:multiLevelType w:val="hybridMultilevel"/>
    <w:tmpl w:val="9D763A90"/>
    <w:lvl w:ilvl="0" w:tplc="2662C06A">
      <w:start w:val="1"/>
      <w:numFmt w:val="bullet"/>
      <w:pStyle w:val="BulletedText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255282"/>
        <w:sz w:val="18"/>
      </w:rPr>
    </w:lvl>
    <w:lvl w:ilvl="1" w:tplc="539886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085C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00D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FA5A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5EC9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05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5E6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837EF"/>
    <w:multiLevelType w:val="hybridMultilevel"/>
    <w:tmpl w:val="34A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90A08"/>
    <w:multiLevelType w:val="hybridMultilevel"/>
    <w:tmpl w:val="C3FC4554"/>
    <w:lvl w:ilvl="0" w:tplc="03F634D8">
      <w:start w:val="1"/>
      <w:numFmt w:val="bullet"/>
      <w:pStyle w:val="Blue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5F9BCF"/>
        <w:sz w:val="18"/>
      </w:rPr>
    </w:lvl>
    <w:lvl w:ilvl="1" w:tplc="9AA8CF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20491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8D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86B2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50C0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06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A669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A5C8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85"/>
    <w:rsid w:val="00407163"/>
    <w:rsid w:val="00492085"/>
    <w:rsid w:val="007B7C37"/>
    <w:rsid w:val="007E575A"/>
    <w:rsid w:val="008B5C80"/>
    <w:rsid w:val="009C0039"/>
    <w:rsid w:val="00CE6A31"/>
    <w:rsid w:val="00D41D8B"/>
    <w:rsid w:val="00E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A9F6A1"/>
  <w15:chartTrackingRefBased/>
  <w15:docId w15:val="{A35F4657-1CBC-4EC2-97A2-1FD3CB4F4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1"/>
        <w:szCs w:val="21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6284"/>
      </w:tabs>
      <w:spacing w:line="240" w:lineRule="exact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tabs>
        <w:tab w:val="left" w:pos="6284"/>
      </w:tabs>
      <w:spacing w:before="100" w:line="220" w:lineRule="exact"/>
      <w:outlineLvl w:val="1"/>
    </w:pPr>
    <w:rPr>
      <w:b/>
      <w:noProof/>
      <w:szCs w:val="20"/>
    </w:rPr>
  </w:style>
  <w:style w:type="paragraph" w:styleId="Heading3">
    <w:name w:val="heading 3"/>
    <w:basedOn w:val="Normal"/>
    <w:next w:val="Normal"/>
    <w:qFormat/>
    <w:pPr>
      <w:keepNext/>
      <w:tabs>
        <w:tab w:val="left" w:pos="6284"/>
      </w:tabs>
      <w:spacing w:after="120"/>
      <w:outlineLvl w:val="2"/>
    </w:pPr>
    <w:rPr>
      <w:b/>
      <w:noProof/>
      <w:color w:val="000000"/>
      <w:sz w:val="16"/>
      <w:szCs w:val="20"/>
    </w:rPr>
  </w:style>
  <w:style w:type="paragraph" w:styleId="Heading4">
    <w:name w:val="heading 4"/>
    <w:basedOn w:val="Normal"/>
    <w:next w:val="Normal"/>
    <w:qFormat/>
    <w:pPr>
      <w:keepNext/>
      <w:tabs>
        <w:tab w:val="left" w:pos="6284"/>
      </w:tabs>
      <w:spacing w:after="120"/>
      <w:jc w:val="right"/>
      <w:outlineLvl w:val="3"/>
    </w:pPr>
    <w:rPr>
      <w:b/>
      <w:noProof/>
      <w:color w:val="000000"/>
      <w:sz w:val="16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color w:val="5F9BCF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Copy"/>
    <w:basedOn w:val="Normal"/>
    <w:pPr>
      <w:spacing w:after="110" w:line="220" w:lineRule="exact"/>
      <w:jc w:val="both"/>
    </w:pPr>
    <w:rPr>
      <w:sz w:val="18"/>
      <w:szCs w:val="20"/>
    </w:rPr>
  </w:style>
  <w:style w:type="paragraph" w:customStyle="1" w:styleId="Address">
    <w:name w:val="Address"/>
    <w:basedOn w:val="BodyCopy"/>
    <w:pPr>
      <w:tabs>
        <w:tab w:val="left" w:pos="2880"/>
      </w:tabs>
      <w:jc w:val="left"/>
    </w:pPr>
  </w:style>
  <w:style w:type="paragraph" w:customStyle="1" w:styleId="BlueBullets">
    <w:name w:val="Blue Bullets"/>
    <w:basedOn w:val="Normal"/>
    <w:pPr>
      <w:numPr>
        <w:numId w:val="1"/>
      </w:numPr>
      <w:tabs>
        <w:tab w:val="left" w:pos="6284"/>
      </w:tabs>
      <w:spacing w:before="100" w:line="220" w:lineRule="exact"/>
    </w:pPr>
    <w:rPr>
      <w:noProof/>
      <w:color w:val="5F9BCF"/>
      <w:sz w:val="18"/>
      <w:szCs w:val="20"/>
    </w:rPr>
  </w:style>
  <w:style w:type="character" w:customStyle="1" w:styleId="BulletHighlight">
    <w:name w:val="Bullet Highlight"/>
    <w:basedOn w:val="DefaultParagraphFont"/>
    <w:rPr>
      <w:rFonts w:ascii="Trebuchet MS" w:hAnsi="Trebuchet MS"/>
      <w:color w:val="5F9BCF"/>
      <w:sz w:val="18"/>
    </w:rPr>
  </w:style>
  <w:style w:type="paragraph" w:customStyle="1" w:styleId="BulletedText">
    <w:name w:val="Bulleted Text"/>
    <w:basedOn w:val="Normal"/>
    <w:pPr>
      <w:numPr>
        <w:numId w:val="2"/>
      </w:numPr>
      <w:tabs>
        <w:tab w:val="left" w:pos="6284"/>
      </w:tabs>
      <w:spacing w:before="100" w:line="220" w:lineRule="exact"/>
    </w:pPr>
    <w:rPr>
      <w:noProof/>
      <w:sz w:val="18"/>
      <w:szCs w:val="20"/>
    </w:rPr>
  </w:style>
  <w:style w:type="paragraph" w:customStyle="1" w:styleId="ChartHeadline">
    <w:name w:val="Chart Headline"/>
    <w:basedOn w:val="Normal"/>
    <w:autoRedefine/>
    <w:rPr>
      <w:color w:val="FFFFFF"/>
      <w:sz w:val="18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ListBullet">
    <w:name w:val="List Bullet"/>
    <w:basedOn w:val="Normal"/>
    <w:autoRedefine/>
    <w:rPr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tblPr>
      <w:tblStyleRowBandSize w:val="1"/>
      <w:tblStyleColBandSize w:val="1"/>
      <w:tblBorders>
        <w:top w:val="single" w:sz="2" w:space="0" w:color="BCA0D6" w:themeColor="accent5" w:themeTint="99"/>
        <w:bottom w:val="single" w:sz="2" w:space="0" w:color="BCA0D6" w:themeColor="accent5" w:themeTint="99"/>
        <w:insideH w:val="single" w:sz="2" w:space="0" w:color="BCA0D6" w:themeColor="accent5" w:themeTint="99"/>
        <w:insideV w:val="single" w:sz="2" w:space="0" w:color="BCA0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A0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A0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FF1" w:themeFill="accent5" w:themeFillTint="33"/>
      </w:tcPr>
    </w:tblStylePr>
    <w:tblStylePr w:type="band1Horz">
      <w:tblPr/>
      <w:tcPr>
        <w:shd w:val="clear" w:color="auto" w:fill="E8DFF1" w:themeFill="accent5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0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0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B7C37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c.com/2019/06/25/feds-powell-warns-against-short-term-political-interests.html" TargetMode="External"/><Relationship Id="rId13" Type="http://schemas.openxmlformats.org/officeDocument/2006/relationships/hyperlink" Target="https://www.investopedia.com/terms/l/lender.as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nn.com/2019/06/26/politics/donald-trump-g20-trade-china-japan/index.html" TargetMode="External"/><Relationship Id="rId12" Type="http://schemas.openxmlformats.org/officeDocument/2006/relationships/hyperlink" Target="https://www.investopedia.com/terms/f/fixed-incomesecurity.as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thebalance.com/stock-trading-101-3581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vestopedia.com/terms/c/corporation.as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hebalance.com/before-you-open-a-brokerage-account-357405" TargetMode="External"/><Relationship Id="rId10" Type="http://schemas.openxmlformats.org/officeDocument/2006/relationships/hyperlink" Target="https://www.cnbc.com/video/2019/06/25/tech-stocks-get-crushed-as-powell-tempers-rate-cut-hop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vox.com/2019/6/26/18759628/federal-reserve-interest-rates-jobs-inflation-workers" TargetMode="External"/><Relationship Id="rId14" Type="http://schemas.openxmlformats.org/officeDocument/2006/relationships/hyperlink" Target="https://www.thebalance.com/the-many-flavors-of-preferred-stock-356336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BLK 4x3 2019">
  <a:themeElements>
    <a:clrScheme name="BLK 2019">
      <a:dk1>
        <a:srgbClr val="000000"/>
      </a:dk1>
      <a:lt1>
        <a:srgbClr val="FFFFFF"/>
      </a:lt1>
      <a:dk2>
        <a:srgbClr val="000000"/>
      </a:dk2>
      <a:lt2>
        <a:srgbClr val="D6D5DD"/>
      </a:lt2>
      <a:accent1>
        <a:srgbClr val="FF4713"/>
      </a:accent1>
      <a:accent2>
        <a:srgbClr val="FFCE00"/>
      </a:accent2>
      <a:accent3>
        <a:srgbClr val="008B5C"/>
      </a:accent3>
      <a:accent4>
        <a:srgbClr val="FC9BB3"/>
      </a:accent4>
      <a:accent5>
        <a:srgbClr val="9062BC"/>
      </a:accent5>
      <a:accent6>
        <a:srgbClr val="C00B28"/>
      </a:accent6>
      <a:hlink>
        <a:srgbClr val="FF4713"/>
      </a:hlink>
      <a:folHlink>
        <a:srgbClr val="D50032"/>
      </a:folHlink>
    </a:clrScheme>
    <a:fontScheme name="BLK Fort">
      <a:majorFont>
        <a:latin typeface="BLK Fort Extrabold"/>
        <a:ea typeface=""/>
        <a:cs typeface=""/>
      </a:majorFont>
      <a:minorFont>
        <a:latin typeface="BLK For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>
            <a:lumMod val="85000"/>
          </a:schemeClr>
        </a:solidFill>
        <a:ln w="9525" cap="flat" cmpd="sng" algn="ctr">
          <a:noFill/>
          <a:prstDash val="solid"/>
        </a:ln>
        <a:effectLst/>
      </a:spPr>
      <a:bodyPr rot="0" spcFirstLastPara="0" vertOverflow="overflow" horzOverflow="overflow" vert="horz" wrap="square" lIns="72000" tIns="36000" rIns="72000" bIns="36000" numCol="1" spcCol="0" rtlCol="0" fromWordArt="0" anchor="ctr" anchorCtr="1" forceAA="0" compatLnSpc="1">
        <a:prstTxWarp prst="textNoShape">
          <a:avLst/>
        </a:prstTxWarp>
        <a:noAutofit/>
      </a:bodyPr>
      <a:lstStyle>
        <a:defPPr algn="ctr">
          <a:buClr>
            <a:schemeClr val="tx2"/>
          </a:buClr>
          <a:buSzPct val="110000"/>
          <a:defRPr sz="1000" b="1" kern="0">
            <a:solidFill>
              <a:schemeClr val="tx2"/>
            </a:solidFill>
          </a:defRPr>
        </a:defPPr>
      </a:lstStyle>
    </a:spDef>
    <a:lnDef>
      <a:spPr>
        <a:ln>
          <a:solidFill>
            <a:srgbClr val="D9D9D9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custClrLst>
    <a:custClr name="blank">
      <a:srgbClr val="FFFFFF"/>
    </a:custClr>
    <a:custClr name="blank">
      <a:srgbClr val="FFFFFF"/>
    </a:custClr>
    <a:custClr name="blank">
      <a:srgbClr val="FFFFFF"/>
    </a:custClr>
    <a:custClr name="Dark Gray">
      <a:srgbClr val="7C7B7F"/>
    </a:custClr>
    <a:custClr name="172 Shade">
      <a:srgbClr val="CD4119"/>
    </a:custClr>
    <a:custClr name="116 Shade">
      <a:srgbClr val="FCA900"/>
    </a:custClr>
    <a:custClr name="7724 Shade">
      <a:srgbClr val="00573C"/>
    </a:custClr>
    <a:custClr name="183 Shade">
      <a:srgbClr val="C80058"/>
    </a:custClr>
    <a:custClr name="2074 Shade">
      <a:srgbClr val="6E3FA3"/>
    </a:custClr>
    <a:custClr name="199 Shade">
      <a:srgbClr val="990013"/>
    </a:custClr>
    <a:custClr name="blank">
      <a:srgbClr val="FFFFFF"/>
    </a:custClr>
    <a:custClr name="blank">
      <a:srgbClr val="FFFFFF"/>
    </a:custClr>
    <a:custClr name="blank">
      <a:srgbClr val="FFFFFF"/>
    </a:custClr>
    <a:custClr name="Light Gray">
      <a:srgbClr val="D6D5DD"/>
    </a:custClr>
    <a:custClr name="172 Tint">
      <a:srgbClr val="FFB194"/>
    </a:custClr>
    <a:custClr name="116 Tint">
      <a:srgbClr val="FFE67F"/>
    </a:custClr>
    <a:custClr name="7724 Tint">
      <a:srgbClr val="9BD7BE"/>
    </a:custClr>
    <a:custClr name="183 Tint">
      <a:srgbClr val="F8D2D6"/>
    </a:custClr>
    <a:custClr name="2074 Tint">
      <a:srgbClr val="C7B2DE"/>
    </a:custClr>
    <a:custClr name="199 Tint">
      <a:srgbClr val="F3B8C9"/>
    </a:custClr>
  </a:custClrLst>
  <a:extLst>
    <a:ext uri="{05A4C25C-085E-4340-85A3-A5531E510DB2}">
      <thm15:themeFamily xmlns:thm15="http://schemas.microsoft.com/office/thememl/2012/main" name="blank.potx" id="{B8CFBD9C-492B-4EF3-A467-6910BF0961AE}" vid="{8A4930A9-A9C9-48BF-8823-48E8E51ABE8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Mallina, Alekya</dc:creator>
  <cp:keywords/>
  <dc:description/>
  <cp:lastModifiedBy>Maryland, Affton</cp:lastModifiedBy>
  <cp:revision>3</cp:revision>
  <dcterms:created xsi:type="dcterms:W3CDTF">2019-06-27T17:16:00Z</dcterms:created>
  <dcterms:modified xsi:type="dcterms:W3CDTF">2019-06-27T22:14:00Z</dcterms:modified>
</cp:coreProperties>
</file>