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 1: Descriptive Statistics for select variables from the General Social Survey, Cycle 31, 2017: Family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                                |                               </w:t>
      </w:r>
      <w:r w:rsidDel="00000000" w:rsidR="00000000" w:rsidRPr="00000000">
        <w:rPr>
          <w:b w:val="1"/>
          <w:rtl w:val="0"/>
        </w:rPr>
        <w:t xml:space="preserve">Mean      </w:t>
      </w:r>
      <w:r w:rsidDel="00000000" w:rsidR="00000000" w:rsidRPr="00000000">
        <w:rPr>
          <w:rtl w:val="0"/>
        </w:rPr>
        <w:t xml:space="preserve">|  </w:t>
      </w:r>
      <w:r w:rsidDel="00000000" w:rsidR="00000000" w:rsidRPr="00000000">
        <w:rPr>
          <w:b w:val="1"/>
          <w:rtl w:val="0"/>
        </w:rPr>
        <w:t xml:space="preserve">Std. Dev</w:t>
      </w:r>
      <w:r w:rsidDel="00000000" w:rsidR="00000000" w:rsidRPr="00000000">
        <w:rPr>
          <w:rtl w:val="0"/>
        </w:rPr>
        <w:t xml:space="preserve">.|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|:---------------------------------------|---------:|----------:|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|Age of Respondent When Parents Divorced   | 14.784156| 25.1625762|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|Average Number of Hours Worked/Week        |  4.110971|  1.5172407|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|Dwelling - Owned or Rented                            |  1.261044|  0.4392151|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|Family Living Situation                                     |  1.091069|  0.4019819|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|Household Size                                                |  2.341961|  1.2522055|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|Income of Respondent                                     |  2.357742|  1.3577798|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|Place of Birth of Respondent                           |  5.332060|  1.4323486|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|Rural/Urban                                                     |  1.260693|  0.5116647|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|Self-rated Health                                             |  2.409057|  1.0543076|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