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getting-started-with-bearing"/>
    <w:p>
      <w:pPr>
        <w:pStyle w:val="Heading1"/>
      </w:pPr>
      <w:r>
        <w:t xml:space="preserve">Getting Started with Bearing</w:t>
      </w:r>
    </w:p>
    <w:bookmarkStart w:id="9" w:name="what-is-bearing"/>
    <w:p>
      <w:pPr>
        <w:pStyle w:val="Heading2"/>
      </w:pPr>
      <w:r>
        <w:t xml:space="preserve">What is Bearing?</w:t>
      </w:r>
    </w:p>
    <w:p>
      <w:pPr>
        <w:pStyle w:val="FirstParagraph"/>
      </w:pPr>
      <w:r>
        <w:t xml:space="preserve">Bearing is a ServiceNow platform health assessment tool that helps you identify, prioritize, and plan remediation of technical debt in your clients’ ServiceNow instances.</w:t>
      </w:r>
    </w:p>
    <w:bookmarkEnd w:id="9"/>
    <w:bookmarkStart w:id="10" w:name="what-bearing-does"/>
    <w:p>
      <w:pPr>
        <w:pStyle w:val="Heading2"/>
      </w:pPr>
      <w:r>
        <w:t xml:space="preserve">What Bearing Does</w:t>
      </w:r>
    </w:p>
    <w:p>
      <w:pPr>
        <w:pStyle w:val="Compact"/>
        <w:numPr>
          <w:ilvl w:val="0"/>
          <w:numId w:val="1001"/>
        </w:numPr>
      </w:pPr>
      <w:r>
        <w:t xml:space="preserve">Scans ServiceNow instance configuration metadata</w:t>
      </w:r>
    </w:p>
    <w:p>
      <w:pPr>
        <w:pStyle w:val="Compact"/>
        <w:numPr>
          <w:ilvl w:val="0"/>
          <w:numId w:val="1001"/>
        </w:numPr>
      </w:pPr>
      <w:r>
        <w:t xml:space="preserve">Identifies technical debt across platform domains (Core, CMDB, ITSM, ITAM)</w:t>
      </w:r>
    </w:p>
    <w:p>
      <w:pPr>
        <w:pStyle w:val="Compact"/>
        <w:numPr>
          <w:ilvl w:val="0"/>
          <w:numId w:val="1001"/>
        </w:numPr>
      </w:pPr>
      <w:r>
        <w:t xml:space="preserve">Scores each finding by severity, effort, and risk</w:t>
      </w:r>
    </w:p>
    <w:p>
      <w:pPr>
        <w:pStyle w:val="Compact"/>
        <w:numPr>
          <w:ilvl w:val="0"/>
          <w:numId w:val="1001"/>
        </w:numPr>
      </w:pPr>
      <w:r>
        <w:t xml:space="preserve">Calculates a composite health score (0-100)</w:t>
      </w:r>
    </w:p>
    <w:p>
      <w:pPr>
        <w:pStyle w:val="Compact"/>
        <w:numPr>
          <w:ilvl w:val="0"/>
          <w:numId w:val="1001"/>
        </w:numPr>
      </w:pPr>
      <w:r>
        <w:t xml:space="preserve">Generates prioritized remediation backlogs</w:t>
      </w:r>
    </w:p>
    <w:p>
      <w:pPr>
        <w:pStyle w:val="Compact"/>
        <w:numPr>
          <w:ilvl w:val="0"/>
          <w:numId w:val="1001"/>
        </w:numPr>
      </w:pPr>
      <w:r>
        <w:t xml:space="preserve">Produces professional assessment reports</w:t>
      </w:r>
    </w:p>
    <w:p>
      <w:pPr>
        <w:pStyle w:val="Compact"/>
        <w:numPr>
          <w:ilvl w:val="0"/>
          <w:numId w:val="1001"/>
        </w:numPr>
      </w:pPr>
      <w:r>
        <w:t xml:space="preserve">Builds Statements of Work with scope, pricing, and timelines</w:t>
      </w:r>
    </w:p>
    <w:bookmarkEnd w:id="10"/>
    <w:bookmarkStart w:id="17" w:name="getting-started"/>
    <w:p>
      <w:pPr>
        <w:pStyle w:val="Heading2"/>
      </w:pPr>
      <w:r>
        <w:t xml:space="preserve">Getting Started</w:t>
      </w:r>
    </w:p>
    <w:bookmarkStart w:id="11" w:name="step-1-create-your-organization"/>
    <w:p>
      <w:pPr>
        <w:pStyle w:val="Heading3"/>
      </w:pPr>
      <w:r>
        <w:t xml:space="preserve">Step 1: Create Your Organization</w:t>
      </w:r>
    </w:p>
    <w:p>
      <w:pPr>
        <w:pStyle w:val="Compact"/>
        <w:numPr>
          <w:ilvl w:val="0"/>
          <w:numId w:val="1002"/>
        </w:numPr>
      </w:pPr>
      <w:r>
        <w:t xml:space="preserve">Sign up at [URL]</w:t>
      </w:r>
    </w:p>
    <w:p>
      <w:pPr>
        <w:pStyle w:val="Compact"/>
        <w:numPr>
          <w:ilvl w:val="0"/>
          <w:numId w:val="1002"/>
        </w:numPr>
      </w:pPr>
      <w:r>
        <w:t xml:space="preserve">Set up your organization profile</w:t>
      </w:r>
    </w:p>
    <w:p>
      <w:pPr>
        <w:pStyle w:val="Compact"/>
        <w:numPr>
          <w:ilvl w:val="0"/>
          <w:numId w:val="1002"/>
        </w:numPr>
      </w:pPr>
      <w:r>
        <w:t xml:space="preserve">Invite team members</w:t>
      </w:r>
    </w:p>
    <w:bookmarkEnd w:id="11"/>
    <w:bookmarkStart w:id="12" w:name="step-2-configure-your-rate-card"/>
    <w:p>
      <w:pPr>
        <w:pStyle w:val="Heading3"/>
      </w:pPr>
      <w:r>
        <w:t xml:space="preserve">Step 2: Configure Your Rate Card</w:t>
      </w:r>
    </w:p>
    <w:p>
      <w:pPr>
        <w:pStyle w:val="Compact"/>
        <w:numPr>
          <w:ilvl w:val="0"/>
          <w:numId w:val="1003"/>
        </w:numPr>
      </w:pPr>
      <w:r>
        <w:t xml:space="preserve">Navigate to Settings → Rate Card</w:t>
      </w:r>
    </w:p>
    <w:p>
      <w:pPr>
        <w:pStyle w:val="Compact"/>
        <w:numPr>
          <w:ilvl w:val="0"/>
          <w:numId w:val="1003"/>
        </w:numPr>
      </w:pPr>
      <w:r>
        <w:t xml:space="preserve">Set your blended hourly rate</w:t>
      </w:r>
    </w:p>
    <w:p>
      <w:pPr>
        <w:pStyle w:val="Compact"/>
        <w:numPr>
          <w:ilvl w:val="0"/>
          <w:numId w:val="1003"/>
        </w:numPr>
      </w:pPr>
      <w:r>
        <w:t xml:space="preserve">Add role-specific rates (Architect, Developer, Admin)</w:t>
      </w:r>
    </w:p>
    <w:p>
      <w:pPr>
        <w:pStyle w:val="Compact"/>
        <w:numPr>
          <w:ilvl w:val="0"/>
          <w:numId w:val="1003"/>
        </w:numPr>
      </w:pPr>
      <w:r>
        <w:t xml:space="preserve">Set your margin target</w:t>
      </w:r>
    </w:p>
    <w:bookmarkEnd w:id="12"/>
    <w:bookmarkStart w:id="13" w:name="step-3-run-your-first-assessment"/>
    <w:p>
      <w:pPr>
        <w:pStyle w:val="Heading3"/>
      </w:pPr>
      <w:r>
        <w:t xml:space="preserve">Step 3: Run Your First Assessment</w:t>
      </w:r>
    </w:p>
    <w:p>
      <w:pPr>
        <w:pStyle w:val="FirstParagraph"/>
      </w:pPr>
      <w:r>
        <w:rPr>
          <w:b/>
          <w:bCs/>
        </w:rPr>
        <w:t xml:space="preserve">Option A: Upload an Export</w:t>
      </w:r>
      <w:r>
        <w:t xml:space="preserve"> </w:t>
      </w:r>
      <w:r>
        <w:t xml:space="preserve">(Recommended for first-time use)</w:t>
      </w:r>
      <w:r>
        <w:t xml:space="preserve"> </w:t>
      </w:r>
      <w:r>
        <w:t xml:space="preserve">1. Obtain a sanitized JSON export from the ServiceNow instance</w:t>
      </w:r>
      <w:r>
        <w:t xml:space="preserve"> </w:t>
      </w:r>
      <w:r>
        <w:t xml:space="preserve">2. Navigate to Assessments → New Assessment</w:t>
      </w:r>
      <w:r>
        <w:t xml:space="preserve"> </w:t>
      </w:r>
      <w:r>
        <w:t xml:space="preserve">3. Select</w:t>
      </w:r>
      <w:r>
        <w:t xml:space="preserve"> </w:t>
      </w:r>
      <w:r>
        <w:t xml:space="preserve">“Upload Export”</w:t>
      </w:r>
      <w:r>
        <w:t xml:space="preserve"> </w:t>
      </w:r>
      <w:r>
        <w:t xml:space="preserve">4. Drop your JSON file and enter the customer name</w:t>
      </w:r>
      <w:r>
        <w:t xml:space="preserve"> </w:t>
      </w:r>
      <w:r>
        <w:t xml:space="preserve">5. Click</w:t>
      </w:r>
      <w:r>
        <w:t xml:space="preserve"> </w:t>
      </w:r>
      <w:r>
        <w:t xml:space="preserve">“Run Assessment”</w:t>
      </w:r>
      <w:r>
        <w:t xml:space="preserve"> </w:t>
      </w:r>
      <w:r>
        <w:t xml:space="preserve">6. View your results on the dashboard</w:t>
      </w:r>
    </w:p>
    <w:p>
      <w:pPr>
        <w:pStyle w:val="BodyText"/>
      </w:pPr>
      <w:r>
        <w:rPr>
          <w:b/>
          <w:bCs/>
        </w:rPr>
        <w:t xml:space="preserve">Option B: Connect Directly</w:t>
      </w:r>
      <w:r>
        <w:t xml:space="preserve"> </w:t>
      </w:r>
      <w:r>
        <w:t xml:space="preserve">1. Navigate to Connections → New Connection</w:t>
      </w:r>
      <w:r>
        <w:t xml:space="preserve"> </w:t>
      </w:r>
      <w:r>
        <w:t xml:space="preserve">2. Choose authentication method (Basic Auth or OAuth 2.0)</w:t>
      </w:r>
      <w:r>
        <w:t xml:space="preserve"> </w:t>
      </w:r>
      <w:r>
        <w:t xml:space="preserve">3. Enter instance credentials</w:t>
      </w:r>
      <w:r>
        <w:t xml:space="preserve"> </w:t>
      </w:r>
      <w:r>
        <w:t xml:space="preserve">4. Test the connection</w:t>
      </w:r>
      <w:r>
        <w:t xml:space="preserve"> </w:t>
      </w:r>
      <w:r>
        <w:t xml:space="preserve">5. Save and run a scan</w:t>
      </w:r>
    </w:p>
    <w:bookmarkEnd w:id="13"/>
    <w:bookmarkStart w:id="14" w:name="step-4-review-results"/>
    <w:p>
      <w:pPr>
        <w:pStyle w:val="Heading3"/>
      </w:pPr>
      <w:r>
        <w:t xml:space="preserve">Step 4: Review Results</w:t>
      </w:r>
    </w:p>
    <w:p>
      <w:pPr>
        <w:pStyle w:val="Compact"/>
        <w:numPr>
          <w:ilvl w:val="0"/>
          <w:numId w:val="1004"/>
        </w:numPr>
      </w:pPr>
      <w:r>
        <w:t xml:space="preserve">Health Score gauge shows overall instance health (0-100)</w:t>
      </w:r>
    </w:p>
    <w:p>
      <w:pPr>
        <w:pStyle w:val="Compact"/>
        <w:numPr>
          <w:ilvl w:val="0"/>
          <w:numId w:val="1004"/>
        </w:numPr>
      </w:pPr>
      <w:r>
        <w:t xml:space="preserve">Revenue summary shows total addressable remediation value</w:t>
      </w:r>
    </w:p>
    <w:p>
      <w:pPr>
        <w:pStyle w:val="Compact"/>
        <w:numPr>
          <w:ilvl w:val="0"/>
          <w:numId w:val="1004"/>
        </w:numPr>
      </w:pPr>
      <w:r>
        <w:t xml:space="preserve">Domain scores break down health by module</w:t>
      </w:r>
    </w:p>
    <w:p>
      <w:pPr>
        <w:pStyle w:val="Compact"/>
        <w:numPr>
          <w:ilvl w:val="0"/>
          <w:numId w:val="1004"/>
        </w:numPr>
      </w:pPr>
      <w:r>
        <w:t xml:space="preserve">Findings table lists every issue found, sortable by priority</w:t>
      </w:r>
    </w:p>
    <w:bookmarkEnd w:id="14"/>
    <w:bookmarkStart w:id="15" w:name="step-5-generate-reports"/>
    <w:p>
      <w:pPr>
        <w:pStyle w:val="Heading3"/>
      </w:pPr>
      <w:r>
        <w:t xml:space="preserve">Step 5: Generate Reports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Internal Report</w:t>
      </w:r>
      <w:r>
        <w:t xml:space="preserve">: Full assessment with pricing and margin analysis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Customer Report</w:t>
      </w:r>
      <w:r>
        <w:t xml:space="preserve">: White-labeled, risk-focused, no pricing</w:t>
      </w:r>
    </w:p>
    <w:bookmarkEnd w:id="15"/>
    <w:bookmarkStart w:id="16" w:name="step-6-build-a-sow"/>
    <w:p>
      <w:pPr>
        <w:pStyle w:val="Heading3"/>
      </w:pPr>
      <w:r>
        <w:t xml:space="preserve">Step 6: Build a SOW</w:t>
      </w:r>
    </w:p>
    <w:p>
      <w:pPr>
        <w:pStyle w:val="Compact"/>
        <w:numPr>
          <w:ilvl w:val="0"/>
          <w:numId w:val="1006"/>
        </w:numPr>
      </w:pPr>
      <w:r>
        <w:t xml:space="preserve">Select findings to include</w:t>
      </w:r>
    </w:p>
    <w:p>
      <w:pPr>
        <w:pStyle w:val="Compact"/>
        <w:numPr>
          <w:ilvl w:val="0"/>
          <w:numId w:val="1006"/>
        </w:numPr>
      </w:pPr>
      <w:r>
        <w:t xml:space="preserve">Configure engagement type and rate card</w:t>
      </w:r>
    </w:p>
    <w:p>
      <w:pPr>
        <w:pStyle w:val="Compact"/>
        <w:numPr>
          <w:ilvl w:val="0"/>
          <w:numId w:val="1006"/>
        </w:numPr>
      </w:pPr>
      <w:r>
        <w:t xml:space="preserve">Review and generate a professional Statement of Work</w: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2026-03-31T14:05:30Z</dcterms:created>
  <dcterms:modified xsi:type="dcterms:W3CDTF">2026-03-31T14:05:30Z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