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ssessment-guide"/>
    <w:p>
      <w:pPr>
        <w:pStyle w:val="Heading1"/>
      </w:pPr>
      <w:r>
        <w:t xml:space="preserve">Assessment Guide</w:t>
      </w:r>
    </w:p>
    <w:bookmarkStart w:id="9" w:name="understanding-health-scores"/>
    <w:p>
      <w:pPr>
        <w:pStyle w:val="Heading2"/>
      </w:pPr>
      <w:r>
        <w:t xml:space="preserve">Understanding Health Scores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80-100 (Excellent)</w:t>
      </w:r>
      <w:r>
        <w:t xml:space="preserve">: Minor improvements recommended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60-79 (Good)</w:t>
      </w:r>
      <w:r>
        <w:t xml:space="preserve">: Several areas for improvement identified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40-59 (Fair)</w:t>
      </w:r>
      <w:r>
        <w:t xml:space="preserve">: Substantial technical debt that should be addressed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0-39 (Critical)</w:t>
      </w:r>
      <w:r>
        <w:t xml:space="preserve">: Significant operational risk requiring immediate attention</w:t>
      </w:r>
    </w:p>
    <w:bookmarkEnd w:id="9"/>
    <w:bookmarkStart w:id="14" w:name="assessment-modules"/>
    <w:p>
      <w:pPr>
        <w:pStyle w:val="Heading2"/>
      </w:pPr>
      <w:r>
        <w:t xml:space="preserve">Assessment Modules</w:t>
      </w:r>
    </w:p>
    <w:bookmarkStart w:id="10" w:name="core-platform"/>
    <w:p>
      <w:pPr>
        <w:pStyle w:val="Heading3"/>
      </w:pPr>
      <w:r>
        <w:t xml:space="preserve">Core Platform</w:t>
      </w:r>
    </w:p>
    <w:p>
      <w:pPr>
        <w:pStyle w:val="FirstParagraph"/>
      </w:pPr>
      <w:r>
        <w:t xml:space="preserve">Analyzes scripting practices, update set hygiene, and security configurations.</w:t>
      </w:r>
      <w:r>
        <w:t xml:space="preserve"> </w:t>
      </w:r>
      <w:r>
        <w:t xml:space="preserve">- Hard-coded references that break during migrations</w:t>
      </w:r>
      <w:r>
        <w:t xml:space="preserve"> </w:t>
      </w:r>
      <w:r>
        <w:t xml:space="preserve">- Duplicate or conflicting business rules</w:t>
      </w:r>
      <w:r>
        <w:t xml:space="preserve"> </w:t>
      </w:r>
      <w:r>
        <w:t xml:space="preserve">- Client-side scripts performing server operations</w:t>
      </w:r>
      <w:r>
        <w:t xml:space="preserve"> </w:t>
      </w:r>
      <w:r>
        <w:t xml:space="preserve">- Synchronous calls that degrade performance</w:t>
      </w:r>
      <w:r>
        <w:t xml:space="preserve"> </w:t>
      </w:r>
      <w:r>
        <w:t xml:space="preserve">- Production change control violations</w:t>
      </w:r>
      <w:r>
        <w:t xml:space="preserve"> </w:t>
      </w:r>
      <w:r>
        <w:t xml:space="preserve">- Security ACL issues</w:t>
      </w:r>
      <w:r>
        <w:t xml:space="preserve"> </w:t>
      </w:r>
      <w:r>
        <w:t xml:space="preserve">- Elevated role assignments</w:t>
      </w:r>
    </w:p>
    <w:bookmarkEnd w:id="10"/>
    <w:bookmarkStart w:id="11" w:name="cmdb"/>
    <w:p>
      <w:pPr>
        <w:pStyle w:val="Heading3"/>
      </w:pPr>
      <w:r>
        <w:t xml:space="preserve">CMDB</w:t>
      </w:r>
    </w:p>
    <w:p>
      <w:pPr>
        <w:pStyle w:val="FirstParagraph"/>
      </w:pPr>
      <w:r>
        <w:t xml:space="preserve">Evaluates Configuration Management Database health.</w:t>
      </w:r>
      <w:r>
        <w:t xml:space="preserve"> </w:t>
      </w:r>
      <w:r>
        <w:t xml:space="preserve">- Stale configuration items not updated by discovery</w:t>
      </w:r>
      <w:r>
        <w:t xml:space="preserve"> </w:t>
      </w:r>
      <w:r>
        <w:t xml:space="preserve">- Orphaned CIs with no relationships</w:t>
      </w:r>
      <w:r>
        <w:t xml:space="preserve"> </w:t>
      </w:r>
      <w:r>
        <w:t xml:space="preserve">- Missing discovery sources</w:t>
      </w:r>
      <w:r>
        <w:t xml:space="preserve"> </w:t>
      </w:r>
      <w:r>
        <w:t xml:space="preserve">- Duplicate CI records</w:t>
      </w:r>
    </w:p>
    <w:bookmarkEnd w:id="11"/>
    <w:bookmarkStart w:id="12" w:name="itsm"/>
    <w:p>
      <w:pPr>
        <w:pStyle w:val="Heading3"/>
      </w:pPr>
      <w:r>
        <w:t xml:space="preserve">ITSM</w:t>
      </w:r>
    </w:p>
    <w:p>
      <w:pPr>
        <w:pStyle w:val="FirstParagraph"/>
      </w:pPr>
      <w:r>
        <w:t xml:space="preserve">Reviews IT Service Management process health.</w:t>
      </w:r>
      <w:r>
        <w:t xml:space="preserve"> </w:t>
      </w:r>
      <w:r>
        <w:t xml:space="preserve">- Unassigned incident backlogs</w:t>
      </w:r>
      <w:r>
        <w:t xml:space="preserve"> </w:t>
      </w:r>
      <w:r>
        <w:t xml:space="preserve">- Miscategorized incidents</w:t>
      </w:r>
      <w:r>
        <w:t xml:space="preserve"> </w:t>
      </w:r>
      <w:r>
        <w:t xml:space="preserve">- Aged open incidents</w:t>
      </w:r>
      <w:r>
        <w:t xml:space="preserve"> </w:t>
      </w:r>
      <w:r>
        <w:t xml:space="preserve">- Incident quality (reopens)</w:t>
      </w:r>
      <w:r>
        <w:t xml:space="preserve"> </w:t>
      </w:r>
      <w:r>
        <w:t xml:space="preserve">- Change management compliance</w:t>
      </w:r>
      <w:r>
        <w:t xml:space="preserve"> </w:t>
      </w:r>
      <w:r>
        <w:t xml:space="preserve">- Emergency change ratios</w:t>
      </w:r>
    </w:p>
    <w:bookmarkEnd w:id="12"/>
    <w:bookmarkStart w:id="13" w:name="itam"/>
    <w:p>
      <w:pPr>
        <w:pStyle w:val="Heading3"/>
      </w:pPr>
      <w:r>
        <w:t xml:space="preserve">ITAM</w:t>
      </w:r>
    </w:p>
    <w:p>
      <w:pPr>
        <w:pStyle w:val="FirstParagraph"/>
      </w:pPr>
      <w:r>
        <w:t xml:space="preserve">Assesses IT Asset Management data quality.</w:t>
      </w:r>
      <w:r>
        <w:t xml:space="preserve"> </w:t>
      </w:r>
      <w:r>
        <w:t xml:space="preserve">- Hardware assets not linked to CMDB CIs</w:t>
      </w:r>
      <w:r>
        <w:t xml:space="preserve"> </w:t>
      </w:r>
      <w:r>
        <w:t xml:space="preserve">- Assets with expired warranties still in use</w:t>
      </w:r>
    </w:p>
    <w:bookmarkEnd w:id="13"/>
    <w:bookmarkEnd w:id="14"/>
    <w:bookmarkStart w:id="15" w:name="finding-severity-levels"/>
    <w:p>
      <w:pPr>
        <w:pStyle w:val="Heading2"/>
      </w:pPr>
      <w:r>
        <w:t xml:space="preserve">Finding Severity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Recommended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Immediate operational risk</w:t>
            </w:r>
          </w:p>
        </w:tc>
        <w:tc>
          <w:tcPr/>
          <w:p>
            <w:pPr>
              <w:pStyle w:val="Compact"/>
            </w:pPr>
            <w:r>
              <w:t xml:space="preserve">0-30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Significant impact, needs near-term attention</w:t>
            </w:r>
          </w:p>
        </w:tc>
        <w:tc>
          <w:tcPr/>
          <w:p>
            <w:pPr>
              <w:pStyle w:val="Compact"/>
            </w:pPr>
            <w:r>
              <w:t xml:space="preserve">30-60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Should be addressed in planning cycle</w:t>
            </w:r>
          </w:p>
        </w:tc>
        <w:tc>
          <w:tcPr/>
          <w:p>
            <w:pPr>
              <w:pStyle w:val="Compact"/>
            </w:pPr>
            <w:r>
              <w:t xml:space="preserve">60-120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Scheduled maintenance item</w:t>
            </w:r>
          </w:p>
        </w:tc>
        <w:tc>
          <w:tcPr/>
          <w:p>
            <w:pPr>
              <w:pStyle w:val="Compact"/>
            </w:pPr>
            <w:r>
              <w:t xml:space="preserve">Next planning cycle</w:t>
            </w:r>
          </w:p>
        </w:tc>
      </w:tr>
    </w:tbl>
    <w:bookmarkEnd w:id="15"/>
    <w:bookmarkStart w:id="16" w:name="effort-estimates"/>
    <w:p>
      <w:pPr>
        <w:pStyle w:val="Heading2"/>
      </w:pPr>
      <w:r>
        <w:t xml:space="preserve">Effort Estimates</w:t>
      </w:r>
    </w:p>
    <w:p>
      <w:pPr>
        <w:pStyle w:val="FirstParagraph"/>
      </w:pPr>
      <w:r>
        <w:t xml:space="preserve">Each finding includes a t-shirt size effort estimate: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Typical Hours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1-2 hours</w:t>
            </w:r>
          </w:p>
        </w:tc>
        <w:tc>
          <w:tcPr/>
          <w:p>
            <w:pPr>
              <w:pStyle w:val="Compact"/>
            </w:pPr>
            <w:r>
              <w:t xml:space="preserve">Quick configuration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2-4 hours</w:t>
            </w:r>
          </w:p>
        </w:tc>
        <w:tc>
          <w:tcPr/>
          <w:p>
            <w:pPr>
              <w:pStyle w:val="Compact"/>
            </w:pPr>
            <w:r>
              <w:t xml:space="preserve">Simple 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4-16 hours</w:t>
            </w:r>
          </w:p>
        </w:tc>
        <w:tc>
          <w:tcPr/>
          <w:p>
            <w:pPr>
              <w:pStyle w:val="Compact"/>
            </w:pPr>
            <w:r>
              <w:t xml:space="preserve">Moderate effort, may require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16-40 hours</w:t>
            </w:r>
          </w:p>
        </w:tc>
        <w:tc>
          <w:tcPr/>
          <w:p>
            <w:pPr>
              <w:pStyle w:val="Compact"/>
            </w:pPr>
            <w:r>
              <w:t xml:space="preserve">Significant effort, multi-day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40+ hours</w:t>
            </w:r>
          </w:p>
        </w:tc>
        <w:tc>
          <w:tcPr/>
          <w:p>
            <w:pPr>
              <w:pStyle w:val="Compact"/>
            </w:pPr>
            <w:r>
              <w:t xml:space="preserve">Major initiative or redesign</w:t>
            </w:r>
          </w:p>
        </w:tc>
      </w:tr>
    </w:tbl>
    <w:bookmarkEnd w:id="16"/>
    <w:bookmarkStart w:id="17" w:name="pathfinder-enhancement"/>
    <w:p>
      <w:pPr>
        <w:pStyle w:val="Heading2"/>
      </w:pPr>
      <w:r>
        <w:t xml:space="preserve">Pathfinder Enhancement</w:t>
      </w:r>
    </w:p>
    <w:p>
      <w:pPr>
        <w:pStyle w:val="FirstParagraph"/>
      </w:pPr>
      <w:r>
        <w:t xml:space="preserve">When Pathfinder behavioral data is available, Bearing produces additional insights:</w:t>
      </w:r>
      <w:r>
        <w:t xml:space="preserve"> </w:t>
      </w:r>
      <w:r>
        <w:t xml:space="preserve">- CIs marked active in CMDB but showing no traffic</w:t>
      </w:r>
      <w:r>
        <w:t xml:space="preserve"> </w:t>
      </w:r>
      <w:r>
        <w:t xml:space="preserve">- Retired CIs still receiving production traffic</w:t>
      </w:r>
      <w:r>
        <w:t xml:space="preserve"> </w:t>
      </w:r>
      <w:r>
        <w:t xml:space="preserve">- Misclassified CIs based on observed behavior</w:t>
      </w:r>
      <w:r>
        <w:t xml:space="preserve"> </w:t>
      </w:r>
      <w:r>
        <w:t xml:space="preserve">- Undocumented infrastructure (Shadow IT)</w:t>
      </w:r>
      <w:r>
        <w:t xml:space="preserve"> </w:t>
      </w:r>
      <w:r>
        <w:t xml:space="preserve">- Unconfirmed CMDB relationships</w:t>
      </w:r>
      <w:r>
        <w:t xml:space="preserve"> </w:t>
      </w:r>
      <w:r>
        <w:t xml:space="preserve">- Four-zone coverage analysis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2026-03-31T14:05:30Z</dcterms:created>
  <dcterms:modified xsi:type="dcterms:W3CDTF">2026-03-31T14:05:30Z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