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ports-statements-of-work"/>
    <w:p>
      <w:pPr>
        <w:pStyle w:val="Heading1"/>
      </w:pPr>
      <w:r>
        <w:t xml:space="preserve">Reports &amp; Statements of Work</w:t>
      </w:r>
    </w:p>
    <w:bookmarkStart w:id="11" w:name="assessment-reports"/>
    <w:p>
      <w:pPr>
        <w:pStyle w:val="Heading2"/>
      </w:pPr>
      <w:r>
        <w:t xml:space="preserve">Assessment Reports</w:t>
      </w:r>
    </w:p>
    <w:bookmarkStart w:id="9" w:name="internal-consultant-report"/>
    <w:p>
      <w:pPr>
        <w:pStyle w:val="Heading3"/>
      </w:pPr>
      <w:r>
        <w:t xml:space="preserve">Internal Consultant Report</w:t>
      </w:r>
    </w:p>
    <w:p>
      <w:pPr>
        <w:pStyle w:val="FirstParagraph"/>
      </w:pPr>
      <w:r>
        <w:t xml:space="preserve">A comprehensive report for your team that includes:</w:t>
      </w:r>
      <w:r>
        <w:t xml:space="preserve"> </w:t>
      </w:r>
      <w:r>
        <w:t xml:space="preserve">- Executive summary with health score and revenue opportunity</w:t>
      </w:r>
      <w:r>
        <w:t xml:space="preserve"> </w:t>
      </w:r>
      <w:r>
        <w:t xml:space="preserve">- Revenue analysis by module with hours and dollar ranges</w:t>
      </w:r>
      <w:r>
        <w:t xml:space="preserve"> </w:t>
      </w:r>
      <w:r>
        <w:t xml:space="preserve">- Domain health score breakdown</w:t>
      </w:r>
      <w:r>
        <w:t xml:space="preserve"> </w:t>
      </w:r>
      <w:r>
        <w:t xml:space="preserve">- Detailed findings with remediation guidance and revenue impact</w:t>
      </w:r>
      <w:r>
        <w:t xml:space="preserve"> </w:t>
      </w:r>
      <w:r>
        <w:t xml:space="preserve">- Margin analysis based on your rate card</w:t>
      </w:r>
    </w:p>
    <w:p>
      <w:pPr>
        <w:pStyle w:val="BodyText"/>
      </w:pPr>
      <w:r>
        <w:t xml:space="preserve">This report is marked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 </w:t>
      </w:r>
      <w:r>
        <w:t xml:space="preserve">and should not be shared with the end customer.</w:t>
      </w:r>
    </w:p>
    <w:bookmarkEnd w:id="9"/>
    <w:bookmarkStart w:id="10" w:name="customer-facing-report"/>
    <w:p>
      <w:pPr>
        <w:pStyle w:val="Heading3"/>
      </w:pPr>
      <w:r>
        <w:t xml:space="preserve">Customer-Facing Report</w:t>
      </w:r>
    </w:p>
    <w:p>
      <w:pPr>
        <w:pStyle w:val="FirstParagraph"/>
      </w:pPr>
      <w:r>
        <w:t xml:space="preserve">A white-labeled assessment report for your client that includes:</w:t>
      </w:r>
      <w:r>
        <w:t xml:space="preserve"> </w:t>
      </w:r>
      <w:r>
        <w:t xml:space="preserve">- Health score with plain-language interpretation</w:t>
      </w:r>
      <w:r>
        <w:t xml:space="preserve"> </w:t>
      </w:r>
      <w:r>
        <w:t xml:space="preserve">- Risk overview with recommended action timelines</w:t>
      </w:r>
      <w:r>
        <w:t xml:space="preserve"> </w:t>
      </w:r>
      <w:r>
        <w:t xml:space="preserve">- Top priority recommendations</w:t>
      </w:r>
      <w:r>
        <w:t xml:space="preserve"> </w:t>
      </w:r>
      <w:r>
        <w:t xml:space="preserve">- Detailed findings grouped by module</w:t>
      </w:r>
      <w:r>
        <w:t xml:space="preserve"> </w:t>
      </w:r>
      <w:r>
        <w:t xml:space="preserve">- Next steps and engagement guidance</w:t>
      </w:r>
    </w:p>
    <w:p>
      <w:pPr>
        <w:pStyle w:val="BodyText"/>
      </w:pPr>
      <w:r>
        <w:t xml:space="preserve">This report uses your organization’s branding (logo, colors, legal text) and contains</w:t>
      </w:r>
      <w:r>
        <w:t xml:space="preserve"> </w:t>
      </w:r>
      <w:r>
        <w:rPr>
          <w:b/>
          <w:bCs/>
        </w:rPr>
        <w:t xml:space="preserve">no pricing information</w:t>
      </w:r>
      <w:r>
        <w:t xml:space="preserve">.</w:t>
      </w:r>
    </w:p>
    <w:bookmarkEnd w:id="10"/>
    <w:bookmarkEnd w:id="11"/>
    <w:bookmarkStart w:id="14" w:name="statement-of-work-sow"/>
    <w:p>
      <w:pPr>
        <w:pStyle w:val="Heading2"/>
      </w:pPr>
      <w:r>
        <w:t xml:space="preserve">Statement of Work (SOW)</w:t>
      </w:r>
    </w:p>
    <w:bookmarkStart w:id="12" w:name="building-a-sow"/>
    <w:p>
      <w:pPr>
        <w:pStyle w:val="Heading3"/>
      </w:pPr>
      <w:r>
        <w:t xml:space="preserve">Building a SOW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 Findings</w:t>
      </w:r>
      <w:r>
        <w:t xml:space="preserve">: Choose which findings to include in the scope. Use quick filters:</w:t>
      </w:r>
    </w:p>
    <w:p>
      <w:pPr>
        <w:pStyle w:val="Compact"/>
        <w:numPr>
          <w:ilvl w:val="1"/>
          <w:numId w:val="1002"/>
        </w:numPr>
      </w:pPr>
      <w:r>
        <w:t xml:space="preserve">“All Critical”</w:t>
      </w:r>
      <w:r>
        <w:t xml:space="preserve"> </w:t>
      </w:r>
      <w:r>
        <w:t xml:space="preserve">— select all critical-severity findings</w:t>
      </w:r>
    </w:p>
    <w:p>
      <w:pPr>
        <w:pStyle w:val="Compact"/>
        <w:numPr>
          <w:ilvl w:val="1"/>
          <w:numId w:val="1002"/>
        </w:numPr>
      </w:pPr>
      <w:r>
        <w:t xml:space="preserve">“All High”</w:t>
      </w:r>
      <w:r>
        <w:t xml:space="preserve"> </w:t>
      </w:r>
      <w:r>
        <w:t xml:space="preserve">— select all high-severity findings</w:t>
      </w:r>
    </w:p>
    <w:p>
      <w:pPr>
        <w:pStyle w:val="Compact"/>
        <w:numPr>
          <w:ilvl w:val="1"/>
          <w:numId w:val="1002"/>
        </w:numPr>
      </w:pPr>
      <w:r>
        <w:t xml:space="preserve">“Quick Wins Only”</w:t>
      </w:r>
      <w:r>
        <w:t xml:space="preserve"> </w:t>
      </w:r>
      <w:r>
        <w:t xml:space="preserve">— high severity + low effort items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Configure Engagement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Time &amp; Materials</w:t>
      </w:r>
      <w:r>
        <w:t xml:space="preserve">: Hourly billing based on your rate card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Fixed Fee</w:t>
      </w:r>
      <w:r>
        <w:t xml:space="preserve">: Set price based on effort estimates plus margin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Blended</w:t>
      </w:r>
      <w:r>
        <w:t xml:space="preserve">: Combination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&amp; Generate</w:t>
      </w:r>
      <w:r>
        <w:t xml:space="preserve">: Preview the SOW sections before generating:</w:t>
      </w:r>
    </w:p>
    <w:p>
      <w:pPr>
        <w:pStyle w:val="Compact"/>
        <w:numPr>
          <w:ilvl w:val="1"/>
          <w:numId w:val="1004"/>
        </w:numPr>
      </w:pPr>
      <w:r>
        <w:t xml:space="preserve">Engagement overview</w:t>
      </w:r>
    </w:p>
    <w:p>
      <w:pPr>
        <w:pStyle w:val="Compact"/>
        <w:numPr>
          <w:ilvl w:val="1"/>
          <w:numId w:val="1004"/>
        </w:numPr>
      </w:pPr>
      <w:r>
        <w:t xml:space="preserve">Scope of work (grouped by module)</w:t>
      </w:r>
    </w:p>
    <w:p>
      <w:pPr>
        <w:pStyle w:val="Compact"/>
        <w:numPr>
          <w:ilvl w:val="1"/>
          <w:numId w:val="1004"/>
        </w:numPr>
      </w:pPr>
      <w:r>
        <w:t xml:space="preserve">Deliverables</w:t>
      </w:r>
    </w:p>
    <w:p>
      <w:pPr>
        <w:pStyle w:val="Compact"/>
        <w:numPr>
          <w:ilvl w:val="1"/>
          <w:numId w:val="1004"/>
        </w:numPr>
      </w:pPr>
      <w:r>
        <w:t xml:space="preserve">Assumptions</w:t>
      </w:r>
    </w:p>
    <w:p>
      <w:pPr>
        <w:pStyle w:val="Compact"/>
        <w:numPr>
          <w:ilvl w:val="1"/>
          <w:numId w:val="1004"/>
        </w:numPr>
      </w:pPr>
      <w:r>
        <w:t xml:space="preserve">Exclusions</w:t>
      </w:r>
    </w:p>
    <w:p>
      <w:pPr>
        <w:pStyle w:val="Compact"/>
        <w:numPr>
          <w:ilvl w:val="1"/>
          <w:numId w:val="1004"/>
        </w:numPr>
      </w:pPr>
      <w:r>
        <w:t xml:space="preserve">Timeline with severity-based phases</w:t>
      </w:r>
    </w:p>
    <w:p>
      <w:pPr>
        <w:pStyle w:val="Compact"/>
        <w:numPr>
          <w:ilvl w:val="1"/>
          <w:numId w:val="1004"/>
        </w:numPr>
      </w:pPr>
      <w:r>
        <w:t xml:space="preserve">Pricing</w:t>
      </w:r>
    </w:p>
    <w:p>
      <w:pPr>
        <w:pStyle w:val="Compact"/>
        <w:numPr>
          <w:ilvl w:val="1"/>
          <w:numId w:val="1004"/>
        </w:numPr>
      </w:pPr>
      <w:r>
        <w:t xml:space="preserve">Terms and conditions</w:t>
      </w:r>
    </w:p>
    <w:p>
      <w:pPr>
        <w:pStyle w:val="Compact"/>
        <w:numPr>
          <w:ilvl w:val="1"/>
          <w:numId w:val="1004"/>
        </w:numPr>
      </w:pPr>
      <w:r>
        <w:t xml:space="preserve">Signature block</w:t>
      </w:r>
    </w:p>
    <w:bookmarkEnd w:id="12"/>
    <w:bookmarkStart w:id="13" w:name="sow-tracking"/>
    <w:p>
      <w:pPr>
        <w:pStyle w:val="Heading3"/>
      </w:pPr>
      <w:r>
        <w:t xml:space="preserve">SOW Tracking</w:t>
      </w:r>
    </w:p>
    <w:p>
      <w:pPr>
        <w:pStyle w:val="FirstParagraph"/>
      </w:pPr>
      <w:r>
        <w:t xml:space="preserve">Track your SOW pipeline through the status stages: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— Generated but not yet sent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Sent</w:t>
      </w:r>
      <w:r>
        <w:t xml:space="preserve"> </w:t>
      </w:r>
      <w:r>
        <w:t xml:space="preserve">— Delivered to the customer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Under Review</w:t>
      </w:r>
      <w:r>
        <w:t xml:space="preserve"> </w:t>
      </w:r>
      <w:r>
        <w:t xml:space="preserve">— Customer is reviewing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Accepted</w:t>
      </w:r>
      <w:r>
        <w:t xml:space="preserve"> </w:t>
      </w:r>
      <w:r>
        <w:t xml:space="preserve">— Customer has signed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Declined</w:t>
      </w:r>
      <w:r>
        <w:t xml:space="preserve"> </w:t>
      </w:r>
      <w:r>
        <w:t xml:space="preserve">— Customer has declined</w:t>
      </w:r>
    </w:p>
    <w:p>
      <w:pPr>
        <w:pStyle w:val="BodyText"/>
      </w:pPr>
      <w:r>
        <w:t xml:space="preserve">The SOW Pipeline view gives you a kanban-style overview of all SOWs across assessments.</w:t>
      </w:r>
    </w:p>
    <w:bookmarkEnd w:id="13"/>
    <w:bookmarkEnd w:id="14"/>
    <w:bookmarkStart w:id="15" w:name="branding-configuration"/>
    <w:p>
      <w:pPr>
        <w:pStyle w:val="Heading2"/>
      </w:pPr>
      <w:r>
        <w:t xml:space="preserve">Branding Configuration</w:t>
      </w:r>
    </w:p>
    <w:p>
      <w:pPr>
        <w:pStyle w:val="FirstParagraph"/>
      </w:pPr>
      <w:r>
        <w:t xml:space="preserve">Customize your reports and SOWs with your organization’s branding:</w:t>
      </w:r>
      <w:r>
        <w:t xml:space="preserve"> </w:t>
      </w:r>
      <w:r>
        <w:t xml:space="preserve">- Upload your logo</w:t>
      </w:r>
      <w:r>
        <w:t xml:space="preserve"> </w:t>
      </w:r>
      <w:r>
        <w:t xml:space="preserve">- Set primary and secondary colors</w:t>
      </w:r>
      <w:r>
        <w:t xml:space="preserve"> </w:t>
      </w:r>
      <w:r>
        <w:t xml:space="preserve">- Add legal footer text</w:t>
      </w:r>
      <w:r>
        <w:t xml:space="preserve"> </w:t>
      </w:r>
      <w:r>
        <w:t xml:space="preserve">- Preview branding on sample report</w:t>
      </w:r>
    </w:p>
    <w:p>
      <w:pPr>
        <w:pStyle w:val="BodyText"/>
      </w:pPr>
      <w:r>
        <w:t xml:space="preserve">Navigate to Settings → Branding to configure.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2026-03-31T14:05:30Z</dcterms:created>
  <dcterms:modified xsi:type="dcterms:W3CDTF">2026-03-31T14:05:30Z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