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requently-asked-questions"/>
    <w:p>
      <w:pPr>
        <w:pStyle w:val="Heading1"/>
      </w:pPr>
      <w:r>
        <w:t xml:space="preserve">Frequently Asked Questions</w:t>
      </w:r>
    </w:p>
    <w:bookmarkStart w:id="9" w:name="general"/>
    <w:p>
      <w:pPr>
        <w:pStyle w:val="Heading2"/>
      </w:pPr>
      <w:r>
        <w:t xml:space="preserve">General</w:t>
      </w:r>
    </w:p>
    <w:p>
      <w:pPr>
        <w:pStyle w:val="FirstParagraph"/>
      </w:pPr>
      <w:r>
        <w:rPr>
          <w:b/>
          <w:bCs/>
        </w:rPr>
        <w:t xml:space="preserve">Q: What ServiceNow versions does Bearing support?</w:t>
      </w:r>
      <w:r>
        <w:t xml:space="preserve"> </w:t>
      </w:r>
      <w:r>
        <w:t xml:space="preserve">A: Bearing supports all actively maintained ServiceNow versions (Tokyo, Utah, Vancouver, Washington, Xanadu, and newer).</w:t>
      </w:r>
    </w:p>
    <w:p>
      <w:pPr>
        <w:pStyle w:val="BodyText"/>
      </w:pPr>
      <w:r>
        <w:rPr>
          <w:b/>
          <w:bCs/>
        </w:rPr>
        <w:t xml:space="preserve">Q: Does Bearing make changes to the ServiceNow instance?</w:t>
      </w:r>
      <w:r>
        <w:t xml:space="preserve"> </w:t>
      </w:r>
      <w:r>
        <w:t xml:space="preserve">A: No. Bearing only reads configuration metadata. It never modifies, creates, or deletes records in your instance.</w:t>
      </w:r>
    </w:p>
    <w:p>
      <w:pPr>
        <w:pStyle w:val="BodyText"/>
      </w:pPr>
      <w:r>
        <w:rPr>
          <w:b/>
          <w:bCs/>
        </w:rPr>
        <w:t xml:space="preserve">Q: How long does an assessment take?</w:t>
      </w:r>
      <w:r>
        <w:t xml:space="preserve"> </w:t>
      </w:r>
      <w:r>
        <w:t xml:space="preserve">A: Export-based assessments complete in seconds. Live API scans typically take 5-15 minutes depending on instance size.</w:t>
      </w:r>
    </w:p>
    <w:p>
      <w:pPr>
        <w:pStyle w:val="BodyText"/>
      </w:pPr>
      <w:r>
        <w:rPr>
          <w:b/>
          <w:bCs/>
        </w:rPr>
        <w:t xml:space="preserve">Q: Is my data secure?</w:t>
      </w:r>
      <w:r>
        <w:t xml:space="preserve"> </w:t>
      </w:r>
      <w:r>
        <w:t xml:space="preserve">A: Yes. All data is encrypted in transit and at rest. Each organization’s data is completely isolated using row-level security. Credentials are encrypted with AES-256-GCM.</w:t>
      </w:r>
    </w:p>
    <w:bookmarkEnd w:id="9"/>
    <w:bookmarkStart w:id="10" w:name="assessments"/>
    <w:p>
      <w:pPr>
        <w:pStyle w:val="Heading2"/>
      </w:pPr>
      <w:r>
        <w:t xml:space="preserve">Assessments</w:t>
      </w:r>
    </w:p>
    <w:p>
      <w:pPr>
        <w:pStyle w:val="FirstParagraph"/>
      </w:pPr>
      <w:r>
        <w:rPr>
          <w:b/>
          <w:bCs/>
        </w:rPr>
        <w:t xml:space="preserve">Q: How often should I run assessments?</w:t>
      </w:r>
      <w:r>
        <w:t xml:space="preserve"> </w:t>
      </w:r>
      <w:r>
        <w:t xml:space="preserve">A: We recommend quarterly assessments to track progress. After major upgrades or changes, an immediate assessment helps identify new issues.</w:t>
      </w:r>
    </w:p>
    <w:p>
      <w:pPr>
        <w:pStyle w:val="BodyText"/>
      </w:pPr>
      <w:r>
        <w:rPr>
          <w:b/>
          <w:bCs/>
        </w:rPr>
        <w:t xml:space="preserve">Q: What happens to old assessments?</w:t>
      </w:r>
      <w:r>
        <w:t xml:space="preserve"> </w:t>
      </w:r>
      <w:r>
        <w:t xml:space="preserve">A: Assessments remain fully visible for 30 days, then visibility is gradually reduced. After 90 days, only summary scores are retained.</w:t>
      </w:r>
    </w:p>
    <w:p>
      <w:pPr>
        <w:pStyle w:val="BodyText"/>
      </w:pPr>
      <w:r>
        <w:rPr>
          <w:b/>
          <w:bCs/>
        </w:rPr>
        <w:t xml:space="preserve">Q: Can I compare two assessments?</w:t>
      </w:r>
      <w:r>
        <w:t xml:space="preserve"> </w:t>
      </w:r>
      <w:r>
        <w:t xml:space="preserve">A: Yes. The Trends page shows health score trends over time. You can also compare two specific assessments side-by-side to see what changed.</w:t>
      </w:r>
    </w:p>
    <w:bookmarkEnd w:id="10"/>
    <w:bookmarkStart w:id="11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rPr>
          <w:b/>
          <w:bCs/>
        </w:rPr>
        <w:t xml:space="preserve">Q: Can I customize the customer report branding?</w:t>
      </w:r>
      <w:r>
        <w:t xml:space="preserve"> </w:t>
      </w:r>
      <w:r>
        <w:t xml:space="preserve">A: Yes. Upload your logo, set brand colors, and add legal text in Settings → Branding.</w:t>
      </w:r>
    </w:p>
    <w:p>
      <w:pPr>
        <w:pStyle w:val="BodyText"/>
      </w:pPr>
      <w:r>
        <w:rPr>
          <w:b/>
          <w:bCs/>
        </w:rPr>
        <w:t xml:space="preserve">Q: What format are reports generated in?</w:t>
      </w:r>
      <w:r>
        <w:t xml:space="preserve"> </w:t>
      </w:r>
      <w:r>
        <w:t xml:space="preserve">A: Reports and SOWs are generated as Microsoft Word (DOCX) files.</w:t>
      </w:r>
    </w:p>
    <w:p>
      <w:pPr>
        <w:pStyle w:val="BodyText"/>
      </w:pPr>
      <w:r>
        <w:rPr>
          <w:b/>
          <w:bCs/>
        </w:rPr>
        <w:t xml:space="preserve">Q: Can I edit the SOW after generating it?</w:t>
      </w:r>
      <w:r>
        <w:t xml:space="preserve"> </w:t>
      </w:r>
      <w:r>
        <w:t xml:space="preserve">A: Yes. The generated DOCX can be opened and edited in Microsoft Word or Google Docs before sending to the customer.</w:t>
      </w:r>
    </w:p>
    <w:bookmarkEnd w:id="11"/>
    <w:bookmarkStart w:id="12" w:name="pathfinder-integration"/>
    <w:p>
      <w:pPr>
        <w:pStyle w:val="Heading2"/>
      </w:pPr>
      <w:r>
        <w:t xml:space="preserve">Pathfinder Integration</w:t>
      </w:r>
    </w:p>
    <w:p>
      <w:pPr>
        <w:pStyle w:val="FirstParagraph"/>
      </w:pPr>
      <w:r>
        <w:rPr>
          <w:b/>
          <w:bCs/>
        </w:rPr>
        <w:t xml:space="preserve">Q: What is Pathfinder?</w:t>
      </w:r>
      <w:r>
        <w:t xml:space="preserve"> </w:t>
      </w:r>
      <w:r>
        <w:t xml:space="preserve">A: Pathfinder is Avennorth’s service discovery platform that uses eBPF/ETW agents to observe actual network traffic. When Pathfinder data is available, Bearing can detect issues that static analysis alone cannot find.</w:t>
      </w:r>
    </w:p>
    <w:p>
      <w:pPr>
        <w:pStyle w:val="BodyText"/>
      </w:pPr>
      <w:r>
        <w:rPr>
          <w:b/>
          <w:bCs/>
        </w:rPr>
        <w:t xml:space="preserve">Q: Do I need Pathfinder to use Bearing?</w:t>
      </w:r>
      <w:r>
        <w:t xml:space="preserve"> </w:t>
      </w:r>
      <w:r>
        <w:t xml:space="preserve">A: No. Bearing works completely independently. Pathfinder data is additive — it enriches assessments when available but is never required.</w:t>
      </w:r>
    </w:p>
    <w:p>
      <w:pPr>
        <w:pStyle w:val="BodyText"/>
      </w:pPr>
      <w:r>
        <w:rPr>
          <w:b/>
          <w:bCs/>
        </w:rPr>
        <w:t xml:space="preserve">Q: What are fusion findings?</w:t>
      </w:r>
      <w:r>
        <w:t xml:space="preserve"> </w:t>
      </w:r>
      <w:r>
        <w:t xml:space="preserve">A: Fusion findings are issues that can only be detected when both Bearing assessment data and Pathfinder behavioral data are available. For example, a CI marked</w:t>
      </w:r>
      <w:r>
        <w:t xml:space="preserve"> </w:t>
      </w:r>
      <w:r>
        <w:t xml:space="preserve">“Active”</w:t>
      </w:r>
      <w:r>
        <w:t xml:space="preserve"> </w:t>
      </w:r>
      <w:r>
        <w:t xml:space="preserve">in the CMDB but showing no traffic is a fusion finding.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