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bearing-architecture-overview"/>
    <w:p>
      <w:pPr>
        <w:pStyle w:val="Heading1"/>
      </w:pPr>
      <w:r>
        <w:t xml:space="preserve">Bearing – Architecture Overview</w:t>
      </w:r>
    </w:p>
    <w:p>
      <w:pPr>
        <w:pStyle w:val="BlockText"/>
      </w:pPr>
      <w:r>
        <w:rPr>
          <w:b/>
          <w:bCs/>
        </w:rPr>
        <w:t xml:space="preserve">Internal Avennorth Document</w:t>
      </w:r>
      <w:r>
        <w:t xml:space="preserve"> </w:t>
      </w:r>
      <w:r>
        <w:t xml:space="preserve">– Not for customer distribution.</w:t>
      </w:r>
      <w:r>
        <w:t xml:space="preserve"> </w:t>
      </w:r>
      <w:r>
        <w:t xml:space="preserve">Last updated: 2026-03-29</w:t>
      </w:r>
    </w:p>
    <w:p>
      <w:r>
        <w:pict>
          <v:rect style="width:0;height:1.5pt" o:hralign="center" o:hrstd="t" o:hr="t"/>
        </w:pict>
      </w:r>
    </w:p>
    <w:bookmarkStart w:id="11" w:name="system-summary"/>
    <w:p>
      <w:pPr>
        <w:pStyle w:val="Heading2"/>
      </w:pPr>
      <w:r>
        <w:t xml:space="preserve">System Summary</w:t>
      </w:r>
    </w:p>
    <w:p>
      <w:pPr>
        <w:pStyle w:val="FirstParagraph"/>
      </w:pPr>
      <w:r>
        <w:rPr>
          <w:b/>
          <w:bCs/>
        </w:rPr>
        <w:t xml:space="preserve">Avennorth Bearing</w:t>
      </w:r>
      <w:r>
        <w:t xml:space="preserve"> </w:t>
      </w:r>
      <w:r>
        <w:t xml:space="preserve">is a technical debt assessment platform for ServiceNow instances. It connects to (or ingests data from) a customer’s ServiceNow instance, scans configuration metadata across major platform domains, scores technical debt by severity/effort/risk, and produces remediation backlogs with effort estimates that feed into Compass (Avennorth’s CRM/estimating platform) for SOW generation.</w:t>
      </w:r>
    </w:p>
    <w:bookmarkStart w:id="9" w:name="X1ed47557407242570fc1ea87a9a46ac987c9eb2"/>
    <w:p>
      <w:pPr>
        <w:pStyle w:val="Heading3"/>
      </w:pPr>
      <w:r>
        <w:t xml:space="preserve">Where Bearing Fits in the Avennorth Suite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1532"/>
        <w:gridCol w:w="40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Narrative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Bearing</w:t>
            </w:r>
          </w:p>
        </w:tc>
        <w:tc>
          <w:tcPr/>
          <w:p>
            <w:pPr>
              <w:pStyle w:val="Compact"/>
            </w:pPr>
            <w:r>
              <w:t xml:space="preserve">Measures where you are (tech debt assessment)</w:t>
            </w:r>
          </w:p>
        </w:tc>
        <w:tc>
          <w:tcPr/>
          <w:p>
            <w:pPr>
              <w:pStyle w:val="Compact"/>
            </w:pPr>
            <w:r>
              <w:t xml:space="preserve">Assess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Pathfinder</w:t>
            </w:r>
          </w:p>
        </w:tc>
        <w:tc>
          <w:tcPr/>
          <w:p>
            <w:pPr>
              <w:pStyle w:val="Compact"/>
            </w:pPr>
            <w:r>
              <w:t xml:space="preserve">Discovers your terrain (CMDB-first service discovery via eBPF/ETW agents)</w:t>
            </w:r>
          </w:p>
        </w:tc>
        <w:tc>
          <w:tcPr/>
          <w:p>
            <w:pPr>
              <w:pStyle w:val="Compact"/>
            </w:pPr>
            <w:r>
              <w:t xml:space="preserve">Discover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Contour</w:t>
            </w:r>
          </w:p>
        </w:tc>
        <w:tc>
          <w:tcPr/>
          <w:p>
            <w:pPr>
              <w:pStyle w:val="Compact"/>
            </w:pPr>
            <w:r>
              <w:t xml:space="preserve">Plots your waypoints (service mapping intelligence suite)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Vantage</w:t>
            </w:r>
          </w:p>
        </w:tc>
        <w:tc>
          <w:tcPr/>
          <w:p>
            <w:pPr>
              <w:pStyle w:val="Compact"/>
            </w:pPr>
            <w:r>
              <w:t xml:space="preserve">Spots wrong turns and reroutes (major incident investigation)</w:t>
            </w:r>
          </w:p>
        </w:tc>
        <w:tc>
          <w:tcPr/>
          <w:p>
            <w:pPr>
              <w:pStyle w:val="Compact"/>
            </w:pPr>
            <w:r>
              <w:t xml:space="preserve">Respond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Compass</w:t>
            </w:r>
          </w:p>
        </w:tc>
        <w:tc>
          <w:tcPr/>
          <w:p>
            <w:pPr>
              <w:pStyle w:val="Compact"/>
            </w:pPr>
            <w:r>
              <w:t xml:space="preserve">The guide (collective CRM/sales platform)</w:t>
            </w:r>
          </w:p>
        </w:tc>
        <w:tc>
          <w:tcPr/>
          <w:p>
            <w:pPr>
              <w:pStyle w:val="Compact"/>
            </w:pPr>
            <w:r>
              <w:t xml:space="preserve">Guide</w:t>
            </w:r>
          </w:p>
        </w:tc>
      </w:tr>
    </w:tbl>
    <w:p>
      <w:pPr>
        <w:pStyle w:val="BodyText"/>
      </w:pPr>
      <w:r>
        <w:t xml:space="preserve">Narrative flow:</w:t>
      </w:r>
      <w:r>
        <w:t xml:space="preserve"> </w:t>
      </w:r>
      <w:r>
        <w:rPr>
          <w:b/>
          <w:bCs/>
        </w:rPr>
        <w:t xml:space="preserve">Assess -&gt; Discover -&gt; Map -&gt; Respond -&gt; Guide</w:t>
      </w:r>
    </w:p>
    <w:bookmarkEnd w:id="9"/>
    <w:bookmarkStart w:id="10" w:name="tech-stack"/>
    <w:p>
      <w:pPr>
        <w:pStyle w:val="Heading3"/>
      </w:pPr>
      <w:r>
        <w:t xml:space="preserve">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004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16 (App Router) + React 18 + TypeScript</w:t>
            </w:r>
          </w:p>
        </w:tc>
        <w:tc>
          <w:tcPr/>
          <w:p>
            <w:pPr>
              <w:pStyle w:val="Compact"/>
            </w:pPr>
            <w:r>
              <w:t xml:space="preserve">SSR for dashboards, React for interactive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3</w:t>
            </w:r>
          </w:p>
        </w:tc>
        <w:tc>
          <w:tcPr/>
          <w:p>
            <w:pPr>
              <w:pStyle w:val="Compact"/>
            </w:pPr>
            <w:r>
              <w:t xml:space="preserve">Consistent with Avennorth design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Next.js API Routes + tRPC 11</w:t>
            </w:r>
          </w:p>
        </w:tc>
        <w:tc>
          <w:tcPr/>
          <w:p>
            <w:pPr>
              <w:pStyle w:val="Compact"/>
            </w:pPr>
            <w:r>
              <w:t xml:space="preserve">Type-safe API layer, co-located with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 (PostgreSQL)</w:t>
            </w:r>
          </w:p>
        </w:tc>
        <w:tc>
          <w:tcPr/>
          <w:p>
            <w:pPr>
              <w:pStyle w:val="Compact"/>
            </w:pPr>
            <w:r>
              <w:t xml:space="preserve">Shared infrastructure with Compass; RLS with</w:t>
            </w:r>
            <w:r>
              <w:t xml:space="preserve"> </w:t>
            </w:r>
            <w:r>
              <w:rPr>
                <w:rStyle w:val="VerbatimChar"/>
              </w:rPr>
              <w:t xml:space="preserve">org_id</w:t>
            </w:r>
            <w:r>
              <w:t xml:space="preserve"> </w:t>
            </w:r>
            <w:r>
              <w:t xml:space="preserve">on all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</w:pPr>
            <w:r>
              <w:t xml:space="preserve">Multi-tenant; org-based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Generation</w:t>
            </w:r>
          </w:p>
        </w:tc>
        <w:tc>
          <w:tcPr/>
          <w:p>
            <w:pPr>
              <w:pStyle w:val="Compact"/>
            </w:pPr>
            <w:r>
              <w:t xml:space="preserve">docx (npm)</w:t>
            </w:r>
          </w:p>
        </w:tc>
        <w:tc>
          <w:tcPr/>
          <w:p>
            <w:pPr>
              <w:pStyle w:val="Compact"/>
            </w:pPr>
            <w:r>
              <w:t xml:space="preserve">SOW and report DOCX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Validation</w:t>
            </w:r>
          </w:p>
        </w:tc>
        <w:tc>
          <w:tcPr/>
          <w:p>
            <w:pPr>
              <w:pStyle w:val="Compact"/>
            </w:pPr>
            <w:r>
              <w:t xml:space="preserve">Zod 4</w:t>
            </w:r>
          </w:p>
        </w:tc>
        <w:tc>
          <w:tcPr/>
          <w:p>
            <w:pPr>
              <w:pStyle w:val="Compact"/>
            </w:pPr>
            <w:r>
              <w:t xml:space="preserve">Runtime validation of API inputs and export payloads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Fetching</w:t>
            </w:r>
          </w:p>
        </w:tc>
        <w:tc>
          <w:tcPr/>
          <w:p>
            <w:pPr>
              <w:pStyle w:val="Compact"/>
            </w:pPr>
            <w:r>
              <w:t xml:space="preserve">TanStack React Query 5</w:t>
            </w:r>
          </w:p>
        </w:tc>
        <w:tc>
          <w:tcPr/>
          <w:p>
            <w:pPr>
              <w:pStyle w:val="Compact"/>
            </w:pPr>
            <w:r>
              <w:t xml:space="preserve">Server state management for tRPC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Integration</w:t>
            </w:r>
          </w:p>
        </w:tc>
        <w:tc>
          <w:tcPr/>
          <w:p>
            <w:pPr>
              <w:pStyle w:val="Compact"/>
            </w:pPr>
            <w:r>
              <w:t xml:space="preserve">REST API (fetch)</w:t>
            </w:r>
          </w:p>
        </w:tc>
        <w:tc>
          <w:tcPr/>
          <w:p>
            <w:pPr>
              <w:pStyle w:val="Compact"/>
            </w:pPr>
            <w:r>
              <w:t xml:space="preserve">OAuth 2.0 + basic auth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Consistent with Avennorth infrastructure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architecture-diagram-reference"/>
    <w:p>
      <w:pPr>
        <w:pStyle w:val="Heading2"/>
      </w:pPr>
      <w:r>
        <w:t xml:space="preserve">Architecture Diagram Reference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docs/diagrams/00_master_architecture_overview.svg</w:t>
      </w:r>
      <w:r>
        <w:t xml:space="preserve"> </w:t>
      </w:r>
      <w:r>
        <w:t xml:space="preserve">for the visual system architecture.</w:t>
      </w:r>
    </w:p>
    <w:p>
      <w:r>
        <w:pict>
          <v:rect style="width:0;height:1.5pt" o:hralign="center" o:hrstd="t" o:hr="t"/>
        </w:pict>
      </w:r>
    </w:p>
    <w:bookmarkEnd w:id="12"/>
    <w:bookmarkStart w:id="18" w:name="core-components"/>
    <w:p>
      <w:pPr>
        <w:pStyle w:val="Heading2"/>
      </w:pPr>
      <w:r>
        <w:t xml:space="preserve">Core Components</w:t>
      </w:r>
    </w:p>
    <w:bookmarkStart w:id="13" w:name="scan-engine"/>
    <w:p>
      <w:pPr>
        <w:pStyle w:val="Heading3"/>
      </w:pPr>
      <w:r>
        <w:t xml:space="preserve">1. Scan Engine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Orchestrates the evaluation of scan rules against ServiceNow data to produce findings.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src/server/scanner/engine.ts</w:t>
      </w:r>
      <w:r>
        <w:t xml:space="preserve"> </w:t>
      </w:r>
      <w:r>
        <w:t xml:space="preserve">– ScanEngine class, rule registration, export scan orchestration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src/server/scanner/export-parser.ts</w:t>
      </w:r>
      <w:r>
        <w:t xml:space="preserve"> </w:t>
      </w:r>
      <w:r>
        <w:t xml:space="preserve">– Zod-validated parser for sanitized JSON exports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src/server/scanner/live-scanner.ts</w:t>
      </w:r>
      <w:r>
        <w:t xml:space="preserve"> </w:t>
      </w:r>
      <w:r>
        <w:t xml:space="preserve">– Live API scan runner (Phase 3, in progress)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src/server/scanner/instance-scan-importer.ts</w:t>
      </w:r>
      <w:r>
        <w:t xml:space="preserve"> </w:t>
      </w:r>
      <w:r>
        <w:t xml:space="preserve">– Ingests ServiceNow Instance Scan results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The</w:t>
      </w:r>
      <w:r>
        <w:t xml:space="preserve"> </w:t>
      </w:r>
      <w:r>
        <w:rPr>
          <w:rStyle w:val="VerbatimChar"/>
        </w:rPr>
        <w:t xml:space="preserve">ScanEngine</w:t>
      </w:r>
      <w:r>
        <w:t xml:space="preserve"> </w:t>
      </w:r>
      <w:r>
        <w:t xml:space="preserve">constructor registers all built-in rules across 4 modules (core, cmdb, itsm, itam).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runExportScan(payload)</w:t>
      </w:r>
      <w:r>
        <w:t xml:space="preserve"> </w:t>
      </w:r>
      <w:r>
        <w:t xml:space="preserve">iterates through enabled rules, runs each against the export payload, attaches composite scores, sorts findings by priority, then computes health scores and domain scores.</w:t>
      </w:r>
      <w:r>
        <w:t xml:space="preserve"> </w:t>
      </w:r>
      <w:r>
        <w:t xml:space="preserve">3. Results are returned as a</w:t>
      </w:r>
      <w:r>
        <w:t xml:space="preserve"> </w:t>
      </w:r>
      <w:r>
        <w:rPr>
          <w:rStyle w:val="VerbatimChar"/>
        </w:rPr>
        <w:t xml:space="preserve">ScanResult</w:t>
      </w:r>
      <w:r>
        <w:t xml:space="preserve"> </w:t>
      </w:r>
      <w:r>
        <w:t xml:space="preserve">containing findings, healthScore, domainScores, and scanMetadata.</w:t>
      </w:r>
    </w:p>
    <w:p>
      <w:pPr>
        <w:pStyle w:val="BodyText"/>
      </w:pPr>
      <w:r>
        <w:rPr>
          <w:b/>
          <w:bCs/>
        </w:rPr>
        <w:t xml:space="preserve">Rule modules: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modules/core/scripting-debt.ts</w:t>
      </w:r>
      <w:r>
        <w:t xml:space="preserve"> </w:t>
      </w:r>
      <w:r>
        <w:t xml:space="preserve">– Hard-coded sys_ids, duplicate BRs, client/server antipattern, sync AJAX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modules/core/update-set-debt.ts</w:t>
      </w:r>
      <w:r>
        <w:t xml:space="preserve"> </w:t>
      </w:r>
      <w:r>
        <w:t xml:space="preserve">– Stale update sets, collisions, direct production changes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modules/core/security-acl-debt.ts</w:t>
      </w:r>
      <w:r>
        <w:t xml:space="preserve"> </w:t>
      </w:r>
      <w:r>
        <w:t xml:space="preserve">– Permissive ACLs, redundant ACLs, elevated roles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modules/cmdb/data-quality.ts</w:t>
      </w:r>
      <w:r>
        <w:t xml:space="preserve"> </w:t>
      </w:r>
      <w:r>
        <w:t xml:space="preserve">– Stale CIs, orphaned CIs, missing discovery source, duplicate CIs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modules/itsm/incident-health.ts</w:t>
      </w:r>
      <w:r>
        <w:t xml:space="preserve"> </w:t>
      </w:r>
      <w:r>
        <w:t xml:space="preserve">– Unassigned, miscategorized, aged, reopened incidents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modules/itsm/change-health.ts</w:t>
      </w:r>
      <w:r>
        <w:t xml:space="preserve"> </w:t>
      </w:r>
      <w:r>
        <w:t xml:space="preserve">– Emergency change ratio, unauthorized changes, missing backout plans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modules/itam/ham-reconciliation.ts</w:t>
      </w:r>
      <w:r>
        <w:t xml:space="preserve"> </w:t>
      </w:r>
      <w:r>
        <w:t xml:space="preserve">– Unreconciled assets, expired warranty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composite-scorer, health-index, export-parser, all module evaluators</w:t>
      </w:r>
    </w:p>
    <w:bookmarkEnd w:id="13"/>
    <w:bookmarkStart w:id="14" w:name="scoring-engine"/>
    <w:p>
      <w:pPr>
        <w:pStyle w:val="Heading3"/>
      </w:pPr>
      <w:r>
        <w:t xml:space="preserve">2. Scoring Engine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Computes composite priority scores and health indices from findings.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src/server/scoring/composite-scorer.ts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computeCompositeScore(severity, effortTshirt, riskScore)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src/server/scoring/health-index.ts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computeHealthScore(findings)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computeDomainScores(findings)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src/server/scoring/pathfinder-fusion.ts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computeFusionScore(input)</w:t>
      </w:r>
      <w:r>
        <w:t xml:space="preserve"> </w:t>
      </w:r>
      <w:r>
        <w:t xml:space="preserve">blending CMDB + Pathfinder data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BodyText"/>
      </w:pPr>
      <w:r>
        <w:t xml:space="preserve">Composite score formula:</w:t>
      </w:r>
    </w:p>
    <w:p>
      <w:pPr>
        <w:pStyle w:val="SourceCode"/>
      </w:pPr>
      <w:r>
        <w:rPr>
          <w:rStyle w:val="VerbatimChar"/>
        </w:rPr>
        <w:t xml:space="preserve">composite = (severity * 0.4) + (effortInverse * 0.3) + (risk * 0.3)</w:t>
      </w:r>
    </w:p>
    <w:p>
      <w:pPr>
        <w:pStyle w:val="FirstParagraph"/>
      </w:pPr>
      <w:r>
        <w:t xml:space="preserve">Severity mapping: critical=4, high=3, medium=2, low=1</w:t>
      </w:r>
      <w:r>
        <w:t xml:space="preserve"> </w:t>
      </w:r>
      <w:r>
        <w:t xml:space="preserve">Effort inverse mapping (quick fixes score higher): XS=5, S=4, M=3, L=2, XL=1</w:t>
      </w:r>
      <w:r>
        <w:t xml:space="preserve"> </w:t>
      </w:r>
      <w:r>
        <w:t xml:space="preserve">Risk score: 1-5 (from scan rule definition)</w:t>
      </w:r>
    </w:p>
    <w:p>
      <w:pPr>
        <w:pStyle w:val="BodyText"/>
      </w:pPr>
      <w:r>
        <w:t xml:space="preserve">Health score formula:</w:t>
      </w:r>
    </w:p>
    <w:p>
      <w:pPr>
        <w:pStyle w:val="SourceCode"/>
      </w:pPr>
      <w:r>
        <w:rPr>
          <w:rStyle w:val="VerbatimChar"/>
        </w:rPr>
        <w:t xml:space="preserve">health = max(0, round(100 - min(totalPenalty, 100)))</w:t>
      </w:r>
      <w:r>
        <w:br/>
      </w:r>
      <w:r>
        <w:rPr>
          <w:rStyle w:val="VerbatimChar"/>
        </w:rPr>
        <w:t xml:space="preserve">totalPenalty = sum(penaltyPerSeverity[finding.severity] * finding.affectedCount)</w:t>
      </w:r>
    </w:p>
    <w:p>
      <w:pPr>
        <w:pStyle w:val="FirstParagraph"/>
      </w:pPr>
      <w:r>
        <w:t xml:space="preserve">Penalty weights: critical=5, high=3, medium=1.5, low=0.5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finding types</w:t>
      </w:r>
    </w:p>
    <w:bookmarkEnd w:id="14"/>
    <w:bookmarkStart w:id="15" w:name="report-generators"/>
    <w:p>
      <w:pPr>
        <w:pStyle w:val="Heading3"/>
      </w:pPr>
      <w:r>
        <w:t xml:space="preserve">3. Report Generators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Produce DOCX documents from assessment data.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src/server/reporting/consultant-report.ts</w:t>
      </w:r>
      <w:r>
        <w:t xml:space="preserve"> </w:t>
      </w:r>
      <w:r>
        <w:t xml:space="preserve">– Internal report with pricing and margin 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src/server/reporting/customer-report.ts</w:t>
      </w:r>
      <w:r>
        <w:t xml:space="preserve"> </w:t>
      </w:r>
      <w:r>
        <w:t xml:space="preserve">– White-labeled report without pricing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src/server/reporting/sow-generator.ts</w:t>
      </w:r>
      <w:r>
        <w:t xml:space="preserve"> </w:t>
      </w:r>
      <w:r>
        <w:t xml:space="preserve">– Statement of Work with scope, deliverables, pricing, signatures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src/server/reporting/revenue-calculator.ts</w:t>
      </w:r>
      <w:r>
        <w:t xml:space="preserve"> </w:t>
      </w:r>
      <w:r>
        <w:t xml:space="preserve">– Applies rate cards to findings for revenue projections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Consultant report:</w:t>
      </w:r>
      <w:r>
        <w:t xml:space="preserve"> </w:t>
      </w:r>
      <w:r>
        <w:t xml:space="preserve">Full findings with severity/effort/revenue breakdown, margin analysis using the org’s rate card. Internal use only.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 report:</w:t>
      </w:r>
      <w:r>
        <w:t xml:space="preserve"> </w:t>
      </w:r>
      <w:r>
        <w:t xml:space="preserve">Same findings, white-labeled with org branding (logo, colors, legal text). No pricing, no margin data. Risk-focused language.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SOW generator:</w:t>
      </w:r>
      <w:r>
        <w:t xml:space="preserve"> </w:t>
      </w:r>
      <w:r>
        <w:t xml:space="preserve">Takes selected findings, fetches their remediation patterns for pre-written scope language, generates a complete DOCX with scope of work, assumptions, deliverables, exclusions, timeline, pricing table, milestones, and signature blocks.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Revenue calculator:</w:t>
      </w:r>
      <w:r>
        <w:t xml:space="preserve"> </w:t>
      </w:r>
      <w:r>
        <w:t xml:space="preserve">Multiplies finding effort hours by blended rate, groups by module, identifies quick wins (high severity + low effort).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docx (npm), finding types, sow types, composite-scorer</w:t>
      </w:r>
    </w:p>
    <w:bookmarkEnd w:id="15"/>
    <w:bookmarkStart w:id="16" w:name="pathfinder-integration"/>
    <w:p>
      <w:pPr>
        <w:pStyle w:val="Heading3"/>
      </w:pPr>
      <w:r>
        <w:t xml:space="preserve">4. Pathfinder Integration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Enriches Bearing assessments with Pathfinder behavioral data when available.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src/server/integrations/pathfinder/confidence-ingester.ts</w:t>
      </w:r>
      <w:r>
        <w:t xml:space="preserve"> </w:t>
      </w:r>
      <w:r>
        <w:t xml:space="preserve">– Processes incoming confidence feeds, upserts to</w:t>
      </w:r>
      <w:r>
        <w:t xml:space="preserve"> </w:t>
      </w:r>
      <w:r>
        <w:rPr>
          <w:rStyle w:val="VerbatimChar"/>
        </w:rPr>
        <w:t xml:space="preserve">pathfinder_confidence</w:t>
      </w:r>
      <w:r>
        <w:t xml:space="preserve"> </w:t>
      </w:r>
      <w:r>
        <w:t xml:space="preserve">table in batches of 100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src/server/integrations/pathfinder/coverage-analyzer.ts</w:t>
      </w:r>
      <w:r>
        <w:t xml:space="preserve"> </w:t>
      </w:r>
      <w:r>
        <w:t xml:space="preserve">– Four-zone coverage mapping (fully_covered, pathfinder_only, discovery_only, dark)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src/server/integrations/pathfinder/deployment-recommender.ts</w:t>
      </w:r>
      <w:r>
        <w:t xml:space="preserve"> </w:t>
      </w:r>
      <w:r>
        <w:t xml:space="preserve">– Generates deployment manifests from coverage gaps, groups by subnet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src/server/scoring/pathfinder-fusion.ts</w:t>
      </w:r>
      <w:r>
        <w:t xml:space="preserve"> </w:t>
      </w:r>
      <w:r>
        <w:t xml:space="preserve">– 5 fusion rules that produce findings detectable only through both signals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src/app/api/webhooks/pathfinder/route.ts</w:t>
      </w:r>
      <w:r>
        <w:t xml:space="preserve"> </w:t>
      </w:r>
      <w:r>
        <w:t xml:space="preserve">– Webhook receiver</w:t>
      </w:r>
    </w:p>
    <w:p>
      <w:pPr>
        <w:pStyle w:val="BodyText"/>
      </w:pPr>
      <w:r>
        <w:rPr>
          <w:b/>
          <w:bCs/>
        </w:rPr>
        <w:t xml:space="preserve">5 Fusion Rules: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cmdb_traffic_mismatch_active_idle</w:t>
      </w:r>
      <w:r>
        <w:t xml:space="preserve"> </w:t>
      </w:r>
      <w:r>
        <w:t xml:space="preserve">– CMDB says Operational, Pathfinder says idle (Critical)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cmdb_traffic_mismatch_retired_active</w:t>
      </w:r>
      <w:r>
        <w:t xml:space="preserve"> </w:t>
      </w:r>
      <w:r>
        <w:t xml:space="preserve">– CMDB says Retired, Pathfinder says active (High)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cmdb_class_mismatch</w:t>
      </w:r>
      <w:r>
        <w:t xml:space="preserve"> </w:t>
      </w:r>
      <w:r>
        <w:t xml:space="preserve">– CSDM class does not match observed behavior (High)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shadow_it_detection</w:t>
      </w:r>
      <w:r>
        <w:t xml:space="preserve"> </w:t>
      </w:r>
      <w:r>
        <w:t xml:space="preserve">– Active traffic with no CMDB record (Critical)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relationship_unconfirmed</w:t>
      </w:r>
      <w:r>
        <w:t xml:space="preserve"> </w:t>
      </w:r>
      <w:r>
        <w:t xml:space="preserve">– CMDB relationship not confirmed by traffic (Medium)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Supabase client, composite-scorer, health-index</w:t>
      </w:r>
    </w:p>
    <w:bookmarkEnd w:id="16"/>
    <w:bookmarkStart w:id="17" w:name="network-effects"/>
    <w:p>
      <w:pPr>
        <w:pStyle w:val="Heading3"/>
      </w:pPr>
      <w:r>
        <w:t xml:space="preserve">5. Network Effects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Benchmarking, calibration, time-decay, and continuous monitoring.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src/server/jobs/benchmark-aggregator.ts</w:t>
      </w:r>
      <w:r>
        <w:t xml:space="preserve"> </w:t>
      </w:r>
      <w:r>
        <w:t xml:space="preserve">– Anonymizes and aggregates data after each assessment, enforces minimum cohort size of 10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src/server/jobs/calibration-tracker.ts</w:t>
      </w:r>
      <w:r>
        <w:t xml:space="preserve"> </w:t>
      </w:r>
      <w:r>
        <w:t xml:space="preserve">– Tracks actual engagement hours vs. estimates, updates</w:t>
      </w:r>
      <w:r>
        <w:t xml:space="preserve"> </w:t>
      </w:r>
      <w:r>
        <w:rPr>
          <w:rStyle w:val="VerbatimChar"/>
        </w:rPr>
        <w:t xml:space="preserve">calibration_factor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remediation_patterns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src/server/jobs/assessment-decay.ts</w:t>
      </w:r>
      <w:r>
        <w:t xml:space="preserve"> </w:t>
      </w:r>
      <w:r>
        <w:t xml:space="preserve">– Manages visibility: full detail 30 days, reduced at 60, summary-only at 90+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src/server/jobs/continuous-monitor.ts</w:t>
      </w:r>
      <w:r>
        <w:t xml:space="preserve"> </w:t>
      </w:r>
      <w:r>
        <w:t xml:space="preserve">– Scheduled recurring scans, threshold alerts, trend analysis</w:t>
      </w:r>
    </w:p>
    <w:p>
      <w:pPr>
        <w:pStyle w:val="BodyText"/>
      </w:pPr>
      <w:r>
        <w:rPr>
          <w:b/>
          <w:bCs/>
        </w:rPr>
        <w:t xml:space="preserve">How the calibration loop works:</w:t>
      </w:r>
      <w:r>
        <w:t xml:space="preserve"> </w:t>
      </w:r>
      <w:r>
        <w:t xml:space="preserve">1. Engagement completes with actual hours recorded</w:t>
      </w:r>
      <w:r>
        <w:t xml:space="preserve"> </w:t>
      </w:r>
      <w:r>
        <w:t xml:space="preserve">2. CalibrationTracker computes accuracy ratio:</w:t>
      </w:r>
      <w:r>
        <w:t xml:space="preserve"> </w:t>
      </w:r>
      <w:r>
        <w:rPr>
          <w:rStyle w:val="VerbatimChar"/>
        </w:rPr>
        <w:t xml:space="preserve">actual / estimatedMidpoint</w:t>
      </w:r>
      <w:r>
        <w:t xml:space="preserve"> </w:t>
      </w:r>
      <w:r>
        <w:t xml:space="preserve">3. Running average update:</w:t>
      </w:r>
      <w:r>
        <w:t xml:space="preserve"> </w:t>
      </w:r>
      <w:r>
        <w:rPr>
          <w:rStyle w:val="VerbatimChar"/>
        </w:rPr>
        <w:t xml:space="preserve">newFactor = (oldFactor * oldN + sampleRatio) / (oldN + 1)</w:t>
      </w:r>
      <w:r>
        <w:t xml:space="preserve"> </w:t>
      </w:r>
      <w:r>
        <w:t xml:space="preserve">4. Factor applied to future estimates only after minimum 3 samples</w:t>
      </w:r>
      <w:r>
        <w:t xml:space="preserve"> </w:t>
      </w:r>
      <w:r>
        <w:t xml:space="preserve">5. Factor &gt; 1.0 means estimates were too low; &lt; 1.0 means too high</w:t>
      </w:r>
    </w:p>
    <w:p>
      <w:pPr>
        <w:pStyle w:val="BodyText"/>
      </w:pPr>
      <w:r>
        <w:rPr>
          <w:b/>
          <w:bCs/>
        </w:rPr>
        <w:t xml:space="preserve">Dependencies:</w:t>
      </w:r>
      <w:r>
        <w:t xml:space="preserve"> </w:t>
      </w:r>
      <w:r>
        <w:t xml:space="preserve">Supabase client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data-flow"/>
    <w:p>
      <w:pPr>
        <w:pStyle w:val="Heading2"/>
      </w:pPr>
      <w:r>
        <w:t xml:space="preserve">Data Flow</w:t>
      </w:r>
    </w:p>
    <w:p>
      <w:pPr>
        <w:pStyle w:val="FirstParagraph"/>
      </w:pPr>
      <w:r>
        <w:t xml:space="preserve">End-to-end processing pipeline:</w:t>
      </w:r>
    </w:p>
    <w:p>
      <w:pPr>
        <w:pStyle w:val="SourceCode"/>
      </w:pPr>
      <w:r>
        <w:rPr>
          <w:rStyle w:val="VerbatimChar"/>
        </w:rPr>
        <w:t xml:space="preserve">1. DATA INGESTION</w:t>
      </w:r>
      <w:r>
        <w:br/>
      </w:r>
      <w:r>
        <w:rPr>
          <w:rStyle w:val="VerbatimChar"/>
        </w:rPr>
        <w:t xml:space="preserve">   Export Upload (POST /api/export/upload)</w:t>
      </w:r>
      <w:r>
        <w:br/>
      </w:r>
      <w:r>
        <w:rPr>
          <w:rStyle w:val="VerbatimChar"/>
        </w:rPr>
        <w:t xml:space="preserve">     -&gt; parse multipart form, extract JSON file</w:t>
      </w:r>
      <w:r>
        <w:br/>
      </w:r>
      <w:r>
        <w:rPr>
          <w:rStyle w:val="VerbatimChar"/>
        </w:rPr>
        <w:t xml:space="preserve">     -&gt; validate via parseExportPayload (Zod schema)</w:t>
      </w:r>
      <w:r>
        <w:br/>
      </w:r>
      <w:r>
        <w:rPr>
          <w:rStyle w:val="VerbatimChar"/>
        </w:rPr>
        <w:t xml:space="preserve">   OR Live API Scan (POST /api/connections/[id]/scan)</w:t>
      </w:r>
      <w:r>
        <w:br/>
      </w:r>
      <w:r>
        <w:rPr>
          <w:rStyle w:val="VerbatimChar"/>
        </w:rPr>
        <w:t xml:space="preserve">     -&gt; decrypt credentials, query ServiceNow Table API</w:t>
      </w:r>
      <w:r>
        <w:br/>
      </w:r>
      <w:r>
        <w:br/>
      </w:r>
      <w:r>
        <w:rPr>
          <w:rStyle w:val="VerbatimChar"/>
        </w:rPr>
        <w:t xml:space="preserve">2. RULE EVALUATION</w:t>
      </w:r>
      <w:r>
        <w:br/>
      </w:r>
      <w:r>
        <w:rPr>
          <w:rStyle w:val="VerbatimChar"/>
        </w:rPr>
        <w:t xml:space="preserve">   ScanEngine.runExportScan(payload)</w:t>
      </w:r>
      <w:r>
        <w:br/>
      </w:r>
      <w:r>
        <w:rPr>
          <w:rStyle w:val="VerbatimChar"/>
        </w:rPr>
        <w:t xml:space="preserve">     -&gt; iterate through 23 enabled rules across 4 modules</w:t>
      </w:r>
      <w:r>
        <w:br/>
      </w:r>
      <w:r>
        <w:rPr>
          <w:rStyle w:val="VerbatimChar"/>
        </w:rPr>
        <w:t xml:space="preserve">     -&gt; each rule extracts relevant data slice from payload</w:t>
      </w:r>
      <w:r>
        <w:br/>
      </w:r>
      <w:r>
        <w:rPr>
          <w:rStyle w:val="VerbatimChar"/>
        </w:rPr>
        <w:t xml:space="preserve">     -&gt; each rule evaluator returns findings (without composite score)</w:t>
      </w:r>
      <w:r>
        <w:br/>
      </w:r>
      <w:r>
        <w:br/>
      </w:r>
      <w:r>
        <w:rPr>
          <w:rStyle w:val="VerbatimChar"/>
        </w:rPr>
        <w:t xml:space="preserve">3. FINDING GENERATION</w:t>
      </w:r>
      <w:r>
        <w:br/>
      </w:r>
      <w:r>
        <w:rPr>
          <w:rStyle w:val="VerbatimChar"/>
        </w:rPr>
        <w:t xml:space="preserve">   Each rule violation = one or more Finding objects</w:t>
      </w:r>
      <w:r>
        <w:br/>
      </w:r>
      <w:r>
        <w:rPr>
          <w:rStyle w:val="VerbatimChar"/>
        </w:rPr>
        <w:t xml:space="preserve">     -&gt; title, description, severity, evidence, affected count</w:t>
      </w:r>
      <w:r>
        <w:br/>
      </w:r>
      <w:r>
        <w:rPr>
          <w:rStyle w:val="VerbatimChar"/>
        </w:rPr>
        <w:t xml:space="preserve">     -&gt; mapped to a remediation_pattern_key for SOW templates</w:t>
      </w:r>
      <w:r>
        <w:br/>
      </w:r>
      <w:r>
        <w:br/>
      </w:r>
      <w:r>
        <w:rPr>
          <w:rStyle w:val="VerbatimChar"/>
        </w:rPr>
        <w:t xml:space="preserve">4. SCORING</w:t>
      </w:r>
      <w:r>
        <w:br/>
      </w:r>
      <w:r>
        <w:rPr>
          <w:rStyle w:val="VerbatimChar"/>
        </w:rPr>
        <w:t xml:space="preserve">   For each finding:</w:t>
      </w:r>
      <w:r>
        <w:br/>
      </w:r>
      <w:r>
        <w:rPr>
          <w:rStyle w:val="VerbatimChar"/>
        </w:rPr>
        <w:t xml:space="preserve">     -&gt; computeCompositeScore(severity, effortTshirt, riskScore)</w:t>
      </w:r>
      <w:r>
        <w:br/>
      </w:r>
      <w:r>
        <w:rPr>
          <w:rStyle w:val="VerbatimChar"/>
        </w:rPr>
        <w:t xml:space="preserve">   Aggregate:</w:t>
      </w:r>
      <w:r>
        <w:br/>
      </w:r>
      <w:r>
        <w:rPr>
          <w:rStyle w:val="VerbatimChar"/>
        </w:rPr>
        <w:t xml:space="preserve">     -&gt; computeHealthScore(findings) -&gt; 0-100 instance health</w:t>
      </w:r>
      <w:r>
        <w:br/>
      </w:r>
      <w:r>
        <w:rPr>
          <w:rStyle w:val="VerbatimChar"/>
        </w:rPr>
        <w:t xml:space="preserve">     -&gt; computeDomainScores(findings) -&gt; per-module health scores</w:t>
      </w:r>
      <w:r>
        <w:br/>
      </w:r>
      <w:r>
        <w:br/>
      </w:r>
      <w:r>
        <w:rPr>
          <w:rStyle w:val="VerbatimChar"/>
        </w:rPr>
        <w:t xml:space="preserve">5. REVENUE CALCULATION</w:t>
      </w:r>
      <w:r>
        <w:br/>
      </w:r>
      <w:r>
        <w:rPr>
          <w:rStyle w:val="VerbatimChar"/>
        </w:rPr>
        <w:t xml:space="preserve">   calculateRevenue(findings, rateCard)</w:t>
      </w:r>
      <w:r>
        <w:br/>
      </w:r>
      <w:r>
        <w:rPr>
          <w:rStyle w:val="VerbatimChar"/>
        </w:rPr>
        <w:t xml:space="preserve">     -&gt; blendedRate * effort_hours * affected_count</w:t>
      </w:r>
      <w:r>
        <w:br/>
      </w:r>
      <w:r>
        <w:rPr>
          <w:rStyle w:val="VerbatimChar"/>
        </w:rPr>
        <w:t xml:space="preserve">     -&gt; group by module, identify quick wins</w:t>
      </w:r>
      <w:r>
        <w:br/>
      </w:r>
      <w:r>
        <w:br/>
      </w:r>
      <w:r>
        <w:rPr>
          <w:rStyle w:val="VerbatimChar"/>
        </w:rPr>
        <w:t xml:space="preserve">6. PERSISTENCE</w:t>
      </w:r>
      <w:r>
        <w:br/>
      </w:r>
      <w:r>
        <w:rPr>
          <w:rStyle w:val="VerbatimChar"/>
        </w:rPr>
        <w:t xml:space="preserve">   -&gt; Create/reuse instance_connection record</w:t>
      </w:r>
      <w:r>
        <w:br/>
      </w:r>
      <w:r>
        <w:rPr>
          <w:rStyle w:val="VerbatimChar"/>
        </w:rPr>
        <w:t xml:space="preserve">   -&gt; Create assessment record with health_score, domain_scores</w:t>
      </w:r>
      <w:r>
        <w:br/>
      </w:r>
      <w:r>
        <w:rPr>
          <w:rStyle w:val="VerbatimChar"/>
        </w:rPr>
        <w:t xml:space="preserve">   -&gt; Insert finding rows with composite scores</w:t>
      </w:r>
      <w:r>
        <w:br/>
      </w:r>
      <w:r>
        <w:br/>
      </w:r>
      <w:r>
        <w:rPr>
          <w:rStyle w:val="VerbatimChar"/>
        </w:rPr>
        <w:t xml:space="preserve">7. REPORT GENERATION</w:t>
      </w:r>
      <w:r>
        <w:br/>
      </w:r>
      <w:r>
        <w:rPr>
          <w:rStyle w:val="VerbatimChar"/>
        </w:rPr>
        <w:t xml:space="preserve">   Consultant report (POST /api/reports/consultant)</w:t>
      </w:r>
      <w:r>
        <w:br/>
      </w:r>
      <w:r>
        <w:rPr>
          <w:rStyle w:val="VerbatimChar"/>
        </w:rPr>
        <w:t xml:space="preserve">     -&gt; all findings + pricing + margin analysis -&gt; DOCX</w:t>
      </w:r>
      <w:r>
        <w:br/>
      </w:r>
      <w:r>
        <w:rPr>
          <w:rStyle w:val="VerbatimChar"/>
        </w:rPr>
        <w:t xml:space="preserve">   Customer report (POST /api/reports/customer)</w:t>
      </w:r>
      <w:r>
        <w:br/>
      </w:r>
      <w:r>
        <w:rPr>
          <w:rStyle w:val="VerbatimChar"/>
        </w:rPr>
        <w:t xml:space="preserve">     -&gt; white-labeled, no pricing -&gt; DOCX</w:t>
      </w:r>
      <w:r>
        <w:br/>
      </w:r>
      <w:r>
        <w:br/>
      </w:r>
      <w:r>
        <w:rPr>
          <w:rStyle w:val="VerbatimChar"/>
        </w:rPr>
        <w:t xml:space="preserve">8. SOW GENERATION</w:t>
      </w:r>
      <w:r>
        <w:br/>
      </w:r>
      <w:r>
        <w:rPr>
          <w:rStyle w:val="VerbatimChar"/>
        </w:rPr>
        <w:t xml:space="preserve">   POST /api/reports/sow</w:t>
      </w:r>
      <w:r>
        <w:br/>
      </w:r>
      <w:r>
        <w:rPr>
          <w:rStyle w:val="VerbatimChar"/>
        </w:rPr>
        <w:t xml:space="preserve">     -&gt; select findings -&gt; fetch remediation patterns -&gt; DOCX</w:t>
      </w:r>
      <w:r>
        <w:br/>
      </w:r>
      <w:r>
        <w:rPr>
          <w:rStyle w:val="VerbatimChar"/>
        </w:rPr>
        <w:t xml:space="preserve">     -&gt; scope, assumptions, deliverables, pricing, signatures</w:t>
      </w:r>
      <w:r>
        <w:br/>
      </w:r>
      <w:r>
        <w:br/>
      </w:r>
      <w:r>
        <w:rPr>
          <w:rStyle w:val="VerbatimChar"/>
        </w:rPr>
        <w:t xml:space="preserve">9. PATHFINDER ENRICHMENT (when available)</w:t>
      </w:r>
      <w:r>
        <w:br/>
      </w:r>
      <w:r>
        <w:rPr>
          <w:rStyle w:val="VerbatimChar"/>
        </w:rPr>
        <w:t xml:space="preserve">   POST /api/webhooks/pathfinder</w:t>
      </w:r>
      <w:r>
        <w:br/>
      </w:r>
      <w:r>
        <w:rPr>
          <w:rStyle w:val="VerbatimChar"/>
        </w:rPr>
        <w:t xml:space="preserve">     -&gt; ingest confidence feed -&gt; pathfinder_confidence table</w:t>
      </w:r>
      <w:r>
        <w:br/>
      </w:r>
      <w:r>
        <w:rPr>
          <w:rStyle w:val="VerbatimChar"/>
        </w:rPr>
        <w:t xml:space="preserve">   computeFusionScore(input)</w:t>
      </w:r>
      <w:r>
        <w:br/>
      </w:r>
      <w:r>
        <w:rPr>
          <w:rStyle w:val="VerbatimChar"/>
        </w:rPr>
        <w:t xml:space="preserve">     -&gt; 5 fusion rules produce findings only detectable with both signals</w:t>
      </w:r>
      <w:r>
        <w:br/>
      </w:r>
      <w:r>
        <w:rPr>
          <w:rStyle w:val="VerbatimChar"/>
        </w:rPr>
        <w:t xml:space="preserve">     -&gt; adjusted health score includes fusion findings</w:t>
      </w:r>
      <w:r>
        <w:br/>
      </w:r>
      <w:r>
        <w:br/>
      </w:r>
      <w:r>
        <w:rPr>
          <w:rStyle w:val="VerbatimChar"/>
        </w:rPr>
        <w:t xml:space="preserve">10. BENCHMARKING AND CALIBRATION (after completion)</w:t>
      </w:r>
      <w:r>
        <w:br/>
      </w:r>
      <w:r>
        <w:rPr>
          <w:rStyle w:val="VerbatimChar"/>
        </w:rPr>
        <w:t xml:space="preserve">    -&gt; anonymize and aggregate assessment data</w:t>
      </w:r>
      <w:r>
        <w:br/>
      </w:r>
      <w:r>
        <w:rPr>
          <w:rStyle w:val="VerbatimChar"/>
        </w:rPr>
        <w:t xml:space="preserve">    -&gt; record actual hours -&gt; update calibration_factor</w:t>
      </w:r>
      <w:r>
        <w:br/>
      </w:r>
      <w:r>
        <w:rPr>
          <w:rStyle w:val="VerbatimChar"/>
        </w:rPr>
        <w:t xml:space="preserve">    -&gt; apply calibration to future estimates (after 3+ samples)</w:t>
      </w:r>
    </w:p>
    <w:p>
      <w:r>
        <w:pict>
          <v:rect style="width:0;height:1.5pt" o:hralign="center" o:hrstd="t" o:hr="t"/>
        </w:pict>
      </w:r>
    </w:p>
    <w:bookmarkEnd w:id="19"/>
    <w:bookmarkStart w:id="20" w:name="multi-tenancy"/>
    <w:p>
      <w:pPr>
        <w:pStyle w:val="Heading2"/>
      </w:pPr>
      <w:r>
        <w:t xml:space="preserve">Multi-Tenancy</w:t>
      </w:r>
    </w:p>
    <w:p>
      <w:pPr>
        <w:pStyle w:val="FirstParagraph"/>
      </w:pPr>
      <w:r>
        <w:t xml:space="preserve">Every tenant-scoped table includes an</w:t>
      </w:r>
      <w:r>
        <w:t xml:space="preserve"> </w:t>
      </w:r>
      <w:r>
        <w:rPr>
          <w:rStyle w:val="VerbatimChar"/>
        </w:rPr>
        <w:t xml:space="preserve">org_id</w:t>
      </w:r>
      <w:r>
        <w:t xml:space="preserve"> </w:t>
      </w:r>
      <w:r>
        <w:t xml:space="preserve">column. This is non-negotiable.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org_id</w:t>
      </w:r>
      <w:r>
        <w:rPr>
          <w:b/>
          <w:bCs/>
        </w:rPr>
        <w:t xml:space="preserve"> </w:t>
      </w:r>
      <w:r>
        <w:rPr>
          <w:b/>
          <w:bCs/>
        </w:rPr>
        <w:t xml:space="preserve">on every table:</w:t>
      </w:r>
      <w:r>
        <w:t xml:space="preserve"> </w:t>
      </w:r>
      <w:r>
        <w:t xml:space="preserve">organizations, users, instance_connections, assessments, findings, pathfinder_confidence, generated_sows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Global reference tables (no org_id):</w:t>
      </w:r>
      <w:r>
        <w:t xml:space="preserve"> </w:t>
      </w:r>
      <w:r>
        <w:t xml:space="preserve">scan_rules, remediation_patterns, benchmark_data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Supabase RLS policies:</w:t>
      </w:r>
      <w:r>
        <w:t xml:space="preserve"> </w:t>
      </w:r>
      <w:r>
        <w:t xml:space="preserve">Every tenant-scoped table has</w:t>
      </w:r>
      <w:r>
        <w:t xml:space="preserve"> </w:t>
      </w:r>
      <w:r>
        <w:rPr>
          <w:rStyle w:val="VerbatimChar"/>
        </w:rPr>
        <w:t xml:space="preserve">ENABLE ROW LEVEL SECURITY</w:t>
      </w:r>
      <w:r>
        <w:t xml:space="preserve"> </w:t>
      </w:r>
      <w:r>
        <w:t xml:space="preserve">and a policy</w:t>
      </w:r>
      <w:r>
        <w:t xml:space="preserve"> </w:t>
      </w:r>
      <w:r>
        <w:rPr>
          <w:rStyle w:val="VerbatimChar"/>
        </w:rPr>
        <w:t xml:space="preserve">USING (org_id = current_setting('app.current_org_id')::uuid)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admin bypass:</w:t>
      </w:r>
      <w:r>
        <w:t xml:space="preserve"> </w:t>
      </w:r>
      <w:r>
        <w:t xml:space="preserve">There is no superuser escape hatch. All queries go through RLS.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 context:</w:t>
      </w:r>
      <w:r>
        <w:t xml:space="preserve"> </w:t>
      </w:r>
      <w:r>
        <w:rPr>
          <w:rStyle w:val="VerbatimChar"/>
        </w:rPr>
        <w:t xml:space="preserve">app.current_org_id</w:t>
      </w:r>
      <w:r>
        <w:t xml:space="preserve"> </w:t>
      </w:r>
      <w:r>
        <w:t xml:space="preserve">is set from the authenticated user’s JWT.</w:t>
      </w:r>
    </w:p>
    <w:p>
      <w:r>
        <w:pict>
          <v:rect style="width:0;height:1.5pt" o:hralign="center" o:hrstd="t" o:hr="t"/>
        </w:pict>
      </w:r>
    </w:p>
    <w:bookmarkEnd w:id="20"/>
    <w:bookmarkStart w:id="24" w:name="api-routes"/>
    <w:p>
      <w:pPr>
        <w:pStyle w:val="Heading2"/>
      </w:pPr>
      <w:r>
        <w:t xml:space="preserve">API Routes</w:t>
      </w:r>
    </w:p>
    <w:bookmarkStart w:id="21" w:name="rest-api-routes-next.js-api-routes"/>
    <w:p>
      <w:pPr>
        <w:pStyle w:val="Heading3"/>
      </w:pPr>
      <w:r>
        <w:t xml:space="preserve">REST API Routes (Next.js API Routes)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760"/>
        <w:gridCol w:w="1320"/>
        <w:gridCol w:w="28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/api/export/upload</w:t>
            </w:r>
          </w:p>
        </w:tc>
        <w:tc>
          <w:tcPr/>
          <w:p>
            <w:pPr>
              <w:pStyle w:val="Compact"/>
            </w:pPr>
            <w:r>
              <w:t xml:space="preserve">Upload sanitized JSON export, run scan, persist results</w:t>
            </w:r>
          </w:p>
        </w:tc>
        <w:tc>
          <w:tcPr/>
          <w:p>
            <w:pPr>
              <w:pStyle w:val="Compact"/>
            </w:pPr>
            <w:r>
              <w:t xml:space="preserve">Org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/api/connections</w:t>
            </w:r>
          </w:p>
        </w:tc>
        <w:tc>
          <w:tcPr/>
          <w:p>
            <w:pPr>
              <w:pStyle w:val="Compact"/>
            </w:pPr>
            <w:r>
              <w:t xml:space="preserve">Create a new ServiceNow instance connection</w:t>
            </w:r>
          </w:p>
        </w:tc>
        <w:tc>
          <w:tcPr/>
          <w:p>
            <w:pPr>
              <w:pStyle w:val="Compact"/>
            </w:pPr>
            <w:r>
              <w:t xml:space="preserve">Org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/api/connections/test</w:t>
            </w:r>
          </w:p>
        </w:tc>
        <w:tc>
          <w:tcPr/>
          <w:p>
            <w:pPr>
              <w:pStyle w:val="Compact"/>
            </w:pPr>
            <w:r>
              <w:t xml:space="preserve">Test ServiceNow connection (basic or OAuth)</w:t>
            </w:r>
          </w:p>
        </w:tc>
        <w:tc>
          <w:tcPr/>
          <w:p>
            <w:pPr>
              <w:pStyle w:val="Compact"/>
            </w:pPr>
            <w:r>
              <w:t xml:space="preserve">Org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/api/connections/[id]/scan</w:t>
            </w:r>
          </w:p>
        </w:tc>
        <w:tc>
          <w:tcPr/>
          <w:p>
            <w:pPr>
              <w:pStyle w:val="Compact"/>
            </w:pPr>
            <w:r>
              <w:t xml:space="preserve">Trigger live API scan for a connection</w:t>
            </w:r>
          </w:p>
        </w:tc>
        <w:tc>
          <w:tcPr/>
          <w:p>
            <w:pPr>
              <w:pStyle w:val="Compact"/>
            </w:pPr>
            <w:r>
              <w:t xml:space="preserve">Org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/api/reports/consultant</w:t>
            </w:r>
          </w:p>
        </w:tc>
        <w:tc>
          <w:tcPr/>
          <w:p>
            <w:pPr>
              <w:pStyle w:val="Compact"/>
            </w:pPr>
            <w:r>
              <w:t xml:space="preserve">Generate consultant report DOCX (with pricing)</w:t>
            </w:r>
          </w:p>
        </w:tc>
        <w:tc>
          <w:tcPr/>
          <w:p>
            <w:pPr>
              <w:pStyle w:val="Compact"/>
            </w:pPr>
            <w:r>
              <w:t xml:space="preserve">Org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/api/reports/customer</w:t>
            </w:r>
          </w:p>
        </w:tc>
        <w:tc>
          <w:tcPr/>
          <w:p>
            <w:pPr>
              <w:pStyle w:val="Compact"/>
            </w:pPr>
            <w:r>
              <w:t xml:space="preserve">Generate customer report DOCX (no pricing)</w:t>
            </w:r>
          </w:p>
        </w:tc>
        <w:tc>
          <w:tcPr/>
          <w:p>
            <w:pPr>
              <w:pStyle w:val="Compact"/>
            </w:pPr>
            <w:r>
              <w:t xml:space="preserve">Org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/api/reports/sow</w:t>
            </w:r>
          </w:p>
        </w:tc>
        <w:tc>
          <w:tcPr/>
          <w:p>
            <w:pPr>
              <w:pStyle w:val="Compact"/>
            </w:pPr>
            <w:r>
              <w:t xml:space="preserve">Generate Statement of Work DOCX</w:t>
            </w:r>
          </w:p>
        </w:tc>
        <w:tc>
          <w:tcPr/>
          <w:p>
            <w:pPr>
              <w:pStyle w:val="Compact"/>
            </w:pPr>
            <w:r>
              <w:t xml:space="preserve">Org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/api/webhooks/pathfinder</w:t>
            </w:r>
          </w:p>
        </w:tc>
        <w:tc>
          <w:tcPr/>
          <w:p>
            <w:pPr>
              <w:pStyle w:val="Compact"/>
            </w:pPr>
            <w:r>
              <w:t xml:space="preserve">Receive Pathfinder confidence feed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/api/trpc/[trpc]</w:t>
            </w:r>
          </w:p>
        </w:tc>
        <w:tc>
          <w:tcPr/>
          <w:p>
            <w:pPr>
              <w:pStyle w:val="Compact"/>
            </w:pPr>
            <w:r>
              <w:t xml:space="preserve">tRPC handler (routes below)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</w:tr>
    </w:tbl>
    <w:bookmarkEnd w:id="21"/>
    <w:bookmarkStart w:id="22" w:name="trpc-procedures-via-apitrpctrpc"/>
    <w:p>
      <w:pPr>
        <w:pStyle w:val="Heading3"/>
      </w:pPr>
      <w:r>
        <w:t xml:space="preserve">tRPC Procedures (via</w:t>
      </w:r>
      <w:r>
        <w:t xml:space="preserve"> </w:t>
      </w:r>
      <w:r>
        <w:rPr>
          <w:rStyle w:val="VerbatimChar"/>
        </w:rPr>
        <w:t xml:space="preserve">/api/trpc/[trpc]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5"/>
        <w:gridCol w:w="1348"/>
        <w:gridCol w:w="1853"/>
        <w:gridCol w:w="1011"/>
        <w:gridCol w:w="2190"/>
        <w:gridCol w:w="10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Router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assessments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List all assessments for org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assessments</w:t>
            </w:r>
          </w:p>
        </w:tc>
        <w:tc>
          <w:tcPr/>
          <w:p>
            <w:pPr>
              <w:pStyle w:val="Compact"/>
            </w:pPr>
            <w:r>
              <w:t xml:space="preserve">getById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Get assessment by ID with finding count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assessments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Create a new assessment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listByAssessment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List findings sorted by composite_score desc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findings</w:t>
            </w:r>
          </w:p>
        </w:tc>
        <w:tc>
          <w:tcPr/>
          <w:p>
            <w:pPr>
              <w:pStyle w:val="Compact"/>
            </w:pPr>
            <w:r>
              <w:t xml:space="preserve">getStats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Get severity and module counts for an assessment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pathfinder</w:t>
            </w:r>
          </w:p>
        </w:tc>
        <w:tc>
          <w:tcPr/>
          <w:p>
            <w:pPr>
              <w:pStyle w:val="Compact"/>
            </w:pPr>
            <w:r>
              <w:t xml:space="preserve">getConfidenceData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Get Pathfinder confidence records for a connection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pathfinder</w:t>
            </w:r>
          </w:p>
        </w:tc>
        <w:tc>
          <w:tcPr/>
          <w:p>
            <w:pPr>
              <w:pStyle w:val="Compact"/>
            </w:pPr>
            <w:r>
              <w:t xml:space="preserve">getCoverageSummary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Get aggregated coverage stats by traffic state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pathfinder</w:t>
            </w:r>
          </w:p>
        </w:tc>
        <w:tc>
          <w:tcPr/>
          <w:p>
            <w:pPr>
              <w:pStyle w:val="Compact"/>
            </w:pPr>
            <w:r>
              <w:t xml:space="preserve">getFusionFindings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Get fusion-only findings for an assessment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sow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List all SOWs for org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sow</w:t>
            </w:r>
          </w:p>
        </w:tc>
        <w:tc>
          <w:tcPr/>
          <w:p>
            <w:pPr>
              <w:pStyle w:val="Compact"/>
            </w:pPr>
            <w:r>
              <w:t xml:space="preserve">getById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Get SOW by ID with included findings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sow</w:t>
            </w:r>
          </w:p>
        </w:tc>
        <w:tc>
          <w:tcPr/>
          <w:p>
            <w:pPr>
              <w:pStyle w:val="Compact"/>
            </w:pPr>
            <w:r>
              <w:t xml:space="preserve">updateStatus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Update SOW status (draft/sent/under_review/accepted/declined)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sow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Create a new SOW record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benchmarks</w:t>
            </w:r>
          </w:p>
        </w:tc>
        <w:tc>
          <w:tcPr/>
          <w:p>
            <w:pPr>
              <w:pStyle w:val="Compact"/>
            </w:pPr>
            <w:r>
              <w:t xml:space="preserve">getCohortBenchmark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Get cohort benchmark data for a module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benchmarks</w:t>
            </w:r>
          </w:p>
        </w:tc>
        <w:tc>
          <w:tcPr/>
          <w:p>
            <w:pPr>
              <w:pStyle w:val="Compact"/>
            </w:pPr>
            <w:r>
              <w:t xml:space="preserve">getAssessmentTrend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Get health score trend for a connection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benchmarks</w:t>
            </w:r>
          </w:p>
        </w:tc>
        <w:tc>
          <w:tcPr/>
          <w:p>
            <w:pPr>
              <w:pStyle w:val="Compact"/>
            </w:pPr>
            <w:r>
              <w:t xml:space="preserve">getCalibrationFactors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Get all calibration factors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benchmarks</w:t>
            </w:r>
          </w:p>
        </w:tc>
        <w:tc>
          <w:tcPr/>
          <w:p>
            <w:pPr>
              <w:pStyle w:val="Compact"/>
            </w:pPr>
            <w:r>
              <w:t xml:space="preserve">recordActualHours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Record actual hours for calibration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</w:tr>
    </w:tbl>
    <w:bookmarkEnd w:id="22"/>
    <w:bookmarkStart w:id="23" w:name="dashboard-pages-app-router"/>
    <w:p>
      <w:pPr>
        <w:pStyle w:val="Heading3"/>
      </w:pPr>
      <w:r>
        <w:t xml:space="preserve">Dashboard Pages (App Router)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16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</w:t>
            </w:r>
          </w:p>
        </w:tc>
        <w:tc>
          <w:tcPr/>
          <w:p>
            <w:pPr>
              <w:pStyle w:val="Compact"/>
            </w:pPr>
            <w:r>
              <w:t xml:space="preserve">Assessment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/assessments/new</w:t>
            </w:r>
          </w:p>
        </w:tc>
        <w:tc>
          <w:tcPr/>
          <w:p>
            <w:pPr>
              <w:pStyle w:val="Compact"/>
            </w:pPr>
            <w:r>
              <w:t xml:space="preserve">New assessment (upload or connect)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/assessments/[id]</w:t>
            </w:r>
          </w:p>
        </w:tc>
        <w:tc>
          <w:tcPr/>
          <w:p>
            <w:pPr>
              <w:pStyle w:val="Compact"/>
            </w:pPr>
            <w:r>
              <w:t xml:space="preserve">Assessment detail (revenue dashboard)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/assessments/[id]/findings</w:t>
            </w:r>
          </w:p>
        </w:tc>
        <w:tc>
          <w:tcPr/>
          <w:p>
            <w:pPr>
              <w:pStyle w:val="Compact"/>
            </w:pPr>
            <w:r>
              <w:t xml:space="preserve">Findings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/assessments/[id]/report</w:t>
            </w:r>
          </w:p>
        </w:tc>
        <w:tc>
          <w:tcPr/>
          <w:p>
            <w:pPr>
              <w:pStyle w:val="Compact"/>
            </w:pPr>
            <w:r>
              <w:t xml:space="preserve">Report preview and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/assessments/[id]/sow</w:t>
            </w:r>
          </w:p>
        </w:tc>
        <w:tc>
          <w:tcPr/>
          <w:p>
            <w:pPr>
              <w:pStyle w:val="Compact"/>
            </w:pPr>
            <w:r>
              <w:t xml:space="preserve">SOW 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/assessments/[id]/sow/tracking</w:t>
            </w:r>
          </w:p>
        </w:tc>
        <w:tc>
          <w:tcPr/>
          <w:p>
            <w:pPr>
              <w:pStyle w:val="Compact"/>
            </w:pPr>
            <w:r>
              <w:t xml:space="preserve">SOW status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/assessments/[id]/pathfinder</w:t>
            </w:r>
          </w:p>
        </w:tc>
        <w:tc>
          <w:tcPr/>
          <w:p>
            <w:pPr>
              <w:pStyle w:val="Compact"/>
            </w:pPr>
            <w:r>
              <w:t xml:space="preserve">Pathfinder coverage and fusion findings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/assessments/[id]/trends</w:t>
            </w:r>
          </w:p>
        </w:tc>
        <w:tc>
          <w:tcPr/>
          <w:p>
            <w:pPr>
              <w:pStyle w:val="Compact"/>
            </w:pPr>
            <w:r>
              <w:t xml:space="preserve">Assessment comparison and 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/connections</w:t>
            </w:r>
          </w:p>
        </w:tc>
        <w:tc>
          <w:tcPr/>
          <w:p>
            <w:pPr>
              <w:pStyle w:val="Compact"/>
            </w:pPr>
            <w:r>
              <w:t xml:space="preserve">Instance connections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/connections/new</w:t>
            </w:r>
          </w:p>
        </w:tc>
        <w:tc>
          <w:tcPr/>
          <w:p>
            <w:pPr>
              <w:pStyle w:val="Compact"/>
            </w:pPr>
            <w:r>
              <w:t xml:space="preserve">New connection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/connections/[id]</w:t>
            </w:r>
          </w:p>
        </w:tc>
        <w:tc>
          <w:tcPr/>
          <w:p>
            <w:pPr>
              <w:pStyle w:val="Compact"/>
            </w:pPr>
            <w:r>
              <w:t xml:space="preserve">Connection detail with scan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/monitoring</w:t>
            </w:r>
          </w:p>
        </w:tc>
        <w:tc>
          <w:tcPr/>
          <w:p>
            <w:pPr>
              <w:pStyle w:val="Compact"/>
            </w:pPr>
            <w:r>
              <w:t xml:space="preserve">Continuous monitoring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Organization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/settings/rate-card</w:t>
            </w:r>
          </w:p>
        </w:tc>
        <w:tc>
          <w:tcPr/>
          <w:p>
            <w:pPr>
              <w:pStyle w:val="Compact"/>
            </w:pPr>
            <w:r>
              <w:t xml:space="preserve">Rate card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/settings/branding</w:t>
            </w:r>
          </w:p>
        </w:tc>
        <w:tc>
          <w:tcPr/>
          <w:p>
            <w:pPr>
              <w:pStyle w:val="Compact"/>
            </w:pPr>
            <w:r>
              <w:t xml:space="preserve">Branding configuration (logo, colors, legal)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/settings/team</w:t>
            </w:r>
          </w:p>
        </w:tc>
        <w:tc>
          <w:tcPr/>
          <w:p>
            <w:pPr>
              <w:pStyle w:val="Compact"/>
            </w:pPr>
            <w:r>
              <w:t xml:space="preserve">Team member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/sow-pipeline</w:t>
            </w:r>
          </w:p>
        </w:tc>
        <w:tc>
          <w:tcPr/>
          <w:p>
            <w:pPr>
              <w:pStyle w:val="Compact"/>
            </w:pPr>
            <w:r>
              <w:t xml:space="preserve">SOW pipeline overview</w:t>
            </w:r>
          </w:p>
        </w:tc>
      </w:tr>
    </w:tbl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2026-03-31T14:05:30Z</dcterms:created>
  <dcterms:modified xsi:type="dcterms:W3CDTF">2026-03-31T14:05:30Z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