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earing-integration-guide"/>
    <w:p>
      <w:pPr>
        <w:pStyle w:val="Heading1"/>
      </w:pPr>
      <w:r>
        <w:t xml:space="preserve">Bearing – Integration Guide</w:t>
      </w:r>
    </w:p>
    <w:p>
      <w:pPr>
        <w:pStyle w:val="BlockText"/>
      </w:pPr>
      <w:r>
        <w:rPr>
          <w:b/>
          <w:bCs/>
        </w:rPr>
        <w:t xml:space="preserve">Internal Avennorth Document</w:t>
      </w:r>
      <w:r>
        <w:t xml:space="preserve"> </w:t>
      </w:r>
      <w:r>
        <w:t xml:space="preserve">– Not for customer distribution.</w:t>
      </w:r>
      <w:r>
        <w:t xml:space="preserve"> </w:t>
      </w:r>
      <w:r>
        <w:t xml:space="preserve">Last updated: 2026-03-29</w:t>
      </w:r>
    </w:p>
    <w:p>
      <w:r>
        <w:pict>
          <v:rect style="width:0;height:1.5pt" o:hralign="center" o:hrstd="t" o:hr="t"/>
        </w:pict>
      </w:r>
    </w:p>
    <w:bookmarkStart w:id="12" w:name="pathfinder---bearing"/>
    <w:p>
      <w:pPr>
        <w:pStyle w:val="Heading2"/>
      </w:pPr>
      <w:r>
        <w:t xml:space="preserve">Pathfinder -&gt; Bearing</w:t>
      </w:r>
    </w:p>
    <w:bookmarkStart w:id="9" w:name="webhook-endpoint"/>
    <w:p>
      <w:pPr>
        <w:pStyle w:val="Heading3"/>
      </w:pPr>
      <w:r>
        <w:t xml:space="preserve">Webhook Endpoint</w:t>
      </w:r>
    </w:p>
    <w:p>
      <w:pPr>
        <w:pStyle w:val="SourceCode"/>
      </w:pPr>
      <w:r>
        <w:rPr>
          <w:rStyle w:val="VerbatimChar"/>
        </w:rPr>
        <w:t xml:space="preserve">POST /api/webhooks/pathfinder</w:t>
      </w:r>
    </w:p>
    <w:p>
      <w:pPr>
        <w:pStyle w:val="FirstParagraph"/>
      </w:pPr>
      <w:r>
        <w:rPr>
          <w:b/>
          <w:bCs/>
        </w:rPr>
        <w:t xml:space="preserve">Authentication:</w:t>
      </w:r>
      <w:r>
        <w:t xml:space="preserve"> </w:t>
      </w:r>
      <w:r>
        <w:rPr>
          <w:rStyle w:val="VerbatimChar"/>
        </w:rPr>
        <w:t xml:space="preserve">X-Bearing-API-Key</w:t>
      </w:r>
      <w:r>
        <w:t xml:space="preserve"> </w:t>
      </w:r>
      <w:r>
        <w:t xml:space="preserve">header containing the value of</w:t>
      </w:r>
      <w:r>
        <w:t xml:space="preserve"> </w:t>
      </w:r>
      <w:r>
        <w:rPr>
          <w:rStyle w:val="VerbatimChar"/>
        </w:rPr>
        <w:t xml:space="preserve">PATHFINDER_WEBHOOK_SECRET</w:t>
      </w:r>
      <w:r>
        <w:t xml:space="preserve"> </w:t>
      </w:r>
      <w:r>
        <w:t xml:space="preserve">environment variable.</w:t>
      </w:r>
    </w:p>
    <w:p>
      <w:pPr>
        <w:pStyle w:val="BodyText"/>
      </w:pPr>
      <w:r>
        <w:rPr>
          <w:b/>
          <w:bCs/>
        </w:rPr>
        <w:t xml:space="preserve">Source file:</w:t>
      </w:r>
      <w:r>
        <w:t xml:space="preserve"> </w:t>
      </w:r>
      <w:r>
        <w:rPr>
          <w:rStyle w:val="VerbatimChar"/>
        </w:rPr>
        <w:t xml:space="preserve">src/app/api/webhooks/pathfinder/route.ts</w:t>
      </w:r>
    </w:p>
    <w:bookmarkEnd w:id="9"/>
    <w:bookmarkStart w:id="10" w:name="payload-schema-pathfinderconfidencefeed"/>
    <w:p>
      <w:pPr>
        <w:pStyle w:val="Heading3"/>
      </w:pPr>
      <w:r>
        <w:t xml:space="preserve">Payload Schema (PathfinderConfidenceFeed)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"pathfinder_instance_id"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"servicenow_instance_url"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"https://customer.service-now.com"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"observation_window_hours"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"2026-03-29T12:00:00Z"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"ci_confidence_records"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"ci_sys_id"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"cmdb_ci_linux_server"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"traffic_state"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"last_observation"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"2026-03-29T11:55:00Z"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"observation_count"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"communication_partners"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"partner_ci_sys_id"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"def789..."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"last_seen"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"2026-03-29T11:55:00Z"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"traffic_volume_bytes_24h"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"relationship_confirmations"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"rel_ci_sys_id"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"parent_ci_sys_id"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"child_ci_sys_id"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"def789..."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"Runs on::Runs"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"behavioral_classification"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"suggested_class"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"cmdb_ci_app_server"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"classification_confidence"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"HTTP/HTTPS traffic patterns consistent with application server behavior"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"total_monitored_hosts"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"active_cis"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"idle_cis"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"deprecated_cis"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"unknown_cis"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"monitored_subnets"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"10.0.1.0/24"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"10.0.2.0/24"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"unmonitored_subnets_detected"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"10.0.5.0/24"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 fields are validated via Zod schema in the route handler. Invalid payloads return 400 with field-level error details.</w:t>
      </w:r>
    </w:p>
    <w:bookmarkEnd w:id="10"/>
    <w:bookmarkStart w:id="11" w:name="what-bearing-does-with-the-data"/>
    <w:p>
      <w:pPr>
        <w:pStyle w:val="Heading3"/>
      </w:pPr>
      <w:r>
        <w:t xml:space="preserve">What Bearing Does with the Data</w:t>
      </w:r>
    </w:p>
    <w:p>
      <w:pPr>
        <w:pStyle w:val="FirstParagraph"/>
      </w:pPr>
      <w:r>
        <w:rPr>
          <w:b/>
          <w:bCs/>
        </w:rPr>
        <w:t xml:space="preserve">Step 1: Instance Connection Lookup</w:t>
      </w:r>
      <w:r>
        <w:t xml:space="preserve"> </w:t>
      </w:r>
      <w:r>
        <w:t xml:space="preserve">The webhook looks up the</w:t>
      </w:r>
      <w:r>
        <w:t xml:space="preserve"> </w:t>
      </w:r>
      <w:r>
        <w:rPr>
          <w:rStyle w:val="VerbatimChar"/>
        </w:rPr>
        <w:t xml:space="preserve">instance_connections</w:t>
      </w:r>
      <w:r>
        <w:t xml:space="preserve"> </w:t>
      </w:r>
      <w:r>
        <w:t xml:space="preserve">record by matching</w:t>
      </w:r>
      <w:r>
        <w:t xml:space="preserve"> </w:t>
      </w:r>
      <w:r>
        <w:rPr>
          <w:rStyle w:val="VerbatimChar"/>
        </w:rPr>
        <w:t xml:space="preserve">servicenow_instance_url</w:t>
      </w:r>
      <w:r>
        <w:t xml:space="preserve"> </w:t>
      </w:r>
      <w:r>
        <w:t xml:space="preserve">to find the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connection_id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2: Confidence Ingestion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ConfidenceIngester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src/server/integrations/pathfinder/confidence-ingester.ts</w:t>
      </w:r>
      <w:r>
        <w:t xml:space="preserve">) upserts each CI confidence record into the</w:t>
      </w:r>
      <w:r>
        <w:t xml:space="preserve"> </w:t>
      </w:r>
      <w:r>
        <w:rPr>
          <w:rStyle w:val="VerbatimChar"/>
        </w:rPr>
        <w:t xml:space="preserve">pathfinder_confidence</w:t>
      </w:r>
      <w:r>
        <w:t xml:space="preserve"> </w:t>
      </w:r>
      <w:r>
        <w:t xml:space="preserve">table. Records are batched in chunks of 100. Upsert uses the unique constraint on</w:t>
      </w:r>
      <w:r>
        <w:t xml:space="preserve"> </w:t>
      </w:r>
      <w:r>
        <w:rPr>
          <w:rStyle w:val="VerbatimChar"/>
        </w:rPr>
        <w:t xml:space="preserve">(org_id, instance_connection_id, ci_sys_id)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3: Fusion Scoring (on demand)</w:t>
      </w:r>
      <w:r>
        <w:t xml:space="preserve"> </w:t>
      </w:r>
      <w:r>
        <w:t xml:space="preserve">When an assessment is viewed with Pathfinder data available,</w:t>
      </w:r>
      <w:r>
        <w:t xml:space="preserve"> </w:t>
      </w:r>
      <w:r>
        <w:rPr>
          <w:rStyle w:val="VerbatimChar"/>
        </w:rPr>
        <w:t xml:space="preserve">computeFusionScore()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src/server/scoring/pathfinder-fusion.ts</w:t>
      </w:r>
      <w:r>
        <w:t xml:space="preserve">) applies 5 fusion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697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Detects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cmdb_traffic_mismatch_active_idle</w:t>
            </w:r>
          </w:p>
        </w:tc>
        <w:tc>
          <w:tcPr/>
          <w:p>
            <w:pPr>
              <w:pStyle w:val="Compact"/>
            </w:pPr>
            <w:r>
              <w:t xml:space="preserve">CMDB = Operational, Pathfinder = idle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cmdb_traffic_mismatch_retired_active</w:t>
            </w:r>
          </w:p>
        </w:tc>
        <w:tc>
          <w:tcPr/>
          <w:p>
            <w:pPr>
              <w:pStyle w:val="Compact"/>
            </w:pPr>
            <w:r>
              <w:t xml:space="preserve">CMDB = Retired, Pathfinder = active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cmdb_class_mismatch</w:t>
            </w:r>
          </w:p>
        </w:tc>
        <w:tc>
          <w:tcPr/>
          <w:p>
            <w:pPr>
              <w:pStyle w:val="Compact"/>
            </w:pPr>
            <w:r>
              <w:t xml:space="preserve">CMDB class != Pathfinder behavioral classification (&gt;75% confidence)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shadow_it_detection</w:t>
            </w:r>
          </w:p>
        </w:tc>
        <w:tc>
          <w:tcPr/>
          <w:p>
            <w:pPr>
              <w:pStyle w:val="Compact"/>
            </w:pPr>
            <w:r>
              <w:t xml:space="preserve">Active traffic with no CMDB record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relationship_unconfirmed</w:t>
            </w:r>
          </w:p>
        </w:tc>
        <w:tc>
          <w:tcPr/>
          <w:p>
            <w:pPr>
              <w:pStyle w:val="Compact"/>
            </w:pPr>
            <w:r>
              <w:t xml:space="preserve">CMDB relationship exists but no traffic observed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t xml:space="preserve">“fusion-only”</w:t>
      </w:r>
      <w:r>
        <w:t xml:space="preserve"> </w:t>
      </w:r>
      <w:r>
        <w:t xml:space="preserve">findings – they can ONLY be detected when both Bearing assessment data and Pathfinder behavioral data exist.</w:t>
      </w:r>
    </w:p>
    <w:p>
      <w:pPr>
        <w:pStyle w:val="BodyText"/>
      </w:pPr>
      <w:r>
        <w:rPr>
          <w:b/>
          <w:bCs/>
        </w:rPr>
        <w:t xml:space="preserve">Step 4: Coverage Zone Analysis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analyzeCoverage()</w:t>
      </w:r>
      <w:r>
        <w:t xml:space="preserve"> </w:t>
      </w:r>
      <w:r>
        <w:t xml:space="preserve">function (</w:t>
      </w:r>
      <w:r>
        <w:rPr>
          <w:rStyle w:val="VerbatimChar"/>
        </w:rPr>
        <w:t xml:space="preserve">src/server/integrations/pathfinder/coverage-analyzer.ts</w:t>
      </w:r>
      <w:r>
        <w:t xml:space="preserve">) maps every CI into one of four zones: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Fully Covered</w:t>
            </w:r>
          </w:p>
        </w:tc>
        <w:tc>
          <w:tcPr/>
          <w:p>
            <w:pPr>
              <w:pStyle w:val="Compact"/>
            </w:pPr>
            <w:r>
              <w:t xml:space="preserve">CI in CMDB AND has Pathfinder data with confidence &gt;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Pathfinder Only</w:t>
            </w:r>
          </w:p>
        </w:tc>
        <w:tc>
          <w:tcPr/>
          <w:p>
            <w:pPr>
              <w:pStyle w:val="Compact"/>
            </w:pPr>
            <w:r>
              <w:t xml:space="preserve">Pathfinder sees traffic but no CMDB CI matches (shadow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Only</w:t>
            </w:r>
          </w:p>
        </w:tc>
        <w:tc>
          <w:tcPr/>
          <w:p>
            <w:pPr>
              <w:pStyle w:val="Compact"/>
            </w:pPr>
            <w:r>
              <w:t xml:space="preserve">CI in CMDB with discovery source but no Pathfinder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CI in CMDB with no discovery source AND no Pathfinder data</w:t>
            </w:r>
          </w:p>
        </w:tc>
      </w:tr>
    </w:tbl>
    <w:p>
      <w:pPr>
        <w:pStyle w:val="BodyText"/>
      </w:pPr>
      <w:r>
        <w:t xml:space="preserve">Recommendations are auto-generated based on zone percentages:</w:t>
      </w:r>
      <w:r>
        <w:t xml:space="preserve"> </w:t>
      </w:r>
      <w:r>
        <w:t xml:space="preserve">- Dark &gt; 20%:</w:t>
      </w:r>
      <w:r>
        <w:t xml:space="preserve"> </w:t>
      </w:r>
      <w:r>
        <w:t xml:space="preserve">“Consider expanding Pathfinder deployment”</w:t>
      </w:r>
      <w:r>
        <w:t xml:space="preserve"> </w:t>
      </w:r>
      <w:r>
        <w:t xml:space="preserve">- Any Pathfinder-only CIs:</w:t>
      </w:r>
      <w:r>
        <w:t xml:space="preserve"> </w:t>
      </w:r>
      <w:r>
        <w:t xml:space="preserve">“Shadow IT detected”</w:t>
      </w:r>
      <w:r>
        <w:t xml:space="preserve"> </w:t>
      </w:r>
      <w:r>
        <w:t xml:space="preserve">- Discovery-only &gt; 30%:</w:t>
      </w:r>
      <w:r>
        <w:t xml:space="preserve"> </w:t>
      </w:r>
      <w:r>
        <w:t xml:space="preserve">“Pathfinder coverage gap – deploy agents”</w:t>
      </w:r>
    </w:p>
    <w:p>
      <w:pPr>
        <w:pStyle w:val="BodyText"/>
      </w:pPr>
      <w:r>
        <w:rPr>
          <w:b/>
          <w:bCs/>
        </w:rPr>
        <w:t xml:space="preserve">Step 5: Deployment Recommendations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generateDeploymentRecommendations()</w:t>
      </w:r>
      <w:r>
        <w:t xml:space="preserve"> </w:t>
      </w:r>
      <w:r>
        <w:t xml:space="preserve">function (</w:t>
      </w:r>
      <w:r>
        <w:rPr>
          <w:rStyle w:val="VerbatimChar"/>
        </w:rPr>
        <w:t xml:space="preserve">src/server/integrations/pathfinder/deployment-recommender.ts</w:t>
      </w:r>
      <w:r>
        <w:t xml:space="preserve">) groups dark-zone and discovery-only CIs by /24 subnet, filters out subnets already covered by Pathfinder agents, and produces prioritized deployment manifests:</w:t>
      </w:r>
    </w:p>
    <w:p>
      <w:pPr>
        <w:pStyle w:val="Compact"/>
        <w:numPr>
          <w:ilvl w:val="0"/>
          <w:numId w:val="1001"/>
        </w:numPr>
      </w:pPr>
      <w:r>
        <w:t xml:space="preserve">20+ CIs in a subnet = high priority</w:t>
      </w:r>
    </w:p>
    <w:p>
      <w:pPr>
        <w:pStyle w:val="Compact"/>
        <w:numPr>
          <w:ilvl w:val="0"/>
          <w:numId w:val="1001"/>
        </w:numPr>
      </w:pPr>
      <w:r>
        <w:t xml:space="preserve">5-19 CIs = medium priority</w:t>
      </w:r>
    </w:p>
    <w:p>
      <w:pPr>
        <w:pStyle w:val="Compact"/>
        <w:numPr>
          <w:ilvl w:val="0"/>
          <w:numId w:val="1001"/>
        </w:numPr>
      </w:pPr>
      <w:r>
        <w:t xml:space="preserve">&lt;5 CIs = low priority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bearing---compass"/>
    <w:p>
      <w:pPr>
        <w:pStyle w:val="Heading2"/>
      </w:pPr>
      <w:r>
        <w:t xml:space="preserve">Bearing -&gt; Compass</w:t>
      </w:r>
    </w:p>
    <w:p>
      <w:pPr>
        <w:pStyle w:val="FirstParagraph"/>
      </w:pPr>
      <w:r>
        <w:rPr>
          <w:b/>
          <w:bCs/>
        </w:rPr>
        <w:t xml:space="preserve">Source file:</w:t>
      </w:r>
      <w:r>
        <w:t xml:space="preserve"> </w:t>
      </w:r>
      <w:r>
        <w:rPr>
          <w:rStyle w:val="VerbatimChar"/>
        </w:rPr>
        <w:t xml:space="preserve">src/server/integrations/compass/pipeline-sync.ts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Compass webhook contract is not yet finalized. The current implementation posts to a placeholder endpoint. TODOs in the code track outstanding items: HMAC signature verification, retry logic, idempotency keys.</w:t>
      </w:r>
    </w:p>
    <w:bookmarkStart w:id="13" w:name="pipeline-sync-endpoint"/>
    <w:p>
      <w:pPr>
        <w:pStyle w:val="Heading3"/>
      </w:pPr>
      <w:r>
        <w:t xml:space="preserve">Pipeline Sync Endpoint</w:t>
      </w:r>
    </w:p>
    <w:p>
      <w:pPr>
        <w:pStyle w:val="SourceCode"/>
      </w:pPr>
      <w:r>
        <w:rPr>
          <w:rStyle w:val="VerbatimChar"/>
        </w:rPr>
        <w:t xml:space="preserve">POST {COMPASS_URL}/api/integrations/bearing/sync</w:t>
      </w:r>
      <w:r>
        <w:br/>
      </w:r>
      <w:r>
        <w:rPr>
          <w:rStyle w:val="VerbatimChar"/>
        </w:rPr>
        <w:t xml:space="preserve">Authorization: Bearer {COMPASS_API_KEY}</w:t>
      </w:r>
      <w:r>
        <w:br/>
      </w:r>
      <w:r>
        <w:rPr>
          <w:rStyle w:val="VerbatimChar"/>
        </w:rPr>
        <w:t xml:space="preserve">Content-Type: application/json</w:t>
      </w:r>
    </w:p>
    <w:bookmarkEnd w:id="13"/>
    <w:bookmarkStart w:id="14" w:name="sow-data-pushed-to-compass"/>
    <w:p>
      <w:pPr>
        <w:pStyle w:val="Heading3"/>
      </w:pPr>
      <w:r>
        <w:t xml:space="preserve">SOW Data Pushed to Compass</w:t>
      </w:r>
    </w:p>
    <w:p>
      <w:pPr>
        <w:pStyle w:val="FirstParagraph"/>
      </w:pPr>
      <w:r>
        <w:t xml:space="preserve">When a SOW is generated, Bearing pushes a</w:t>
      </w:r>
      <w:r>
        <w:t xml:space="preserve"> </w:t>
      </w:r>
      <w:r>
        <w:rPr>
          <w:rStyle w:val="VerbatimChar"/>
        </w:rPr>
        <w:t xml:space="preserve">sow_sync</w:t>
      </w:r>
      <w:r>
        <w:t xml:space="preserve"> </w:t>
      </w:r>
      <w:r>
        <w:t xml:space="preserve">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"sow_sync"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"engagementType"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"time_and_materials"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"totalRevenueLow"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"totalRevenueHigh"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"assessmentHealthScore"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"findingsSummary"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compassDealId</w:t>
      </w:r>
      <w:r>
        <w:t xml:space="preserve"> </w:t>
      </w:r>
      <w:r>
        <w:t xml:space="preserve">from the Compass response.</w:t>
      </w:r>
    </w:p>
    <w:bookmarkEnd w:id="14"/>
    <w:bookmarkStart w:id="15" w:name="assessment-lead-data-pushed"/>
    <w:p>
      <w:pPr>
        <w:pStyle w:val="Heading3"/>
      </w:pPr>
      <w:r>
        <w:t xml:space="preserve">Assessment Lead Data Pushed</w:t>
      </w:r>
    </w:p>
    <w:p>
      <w:pPr>
        <w:pStyle w:val="FirstParagraph"/>
      </w:pPr>
      <w:r>
        <w:t xml:space="preserve">When an assessment completes, Bearing pushes an</w:t>
      </w:r>
      <w:r>
        <w:t xml:space="preserve"> </w:t>
      </w:r>
      <w:r>
        <w:rPr>
          <w:rStyle w:val="VerbatimChar"/>
        </w:rPr>
        <w:t xml:space="preserve">assessment_lead</w:t>
      </w:r>
      <w:r>
        <w:t xml:space="preserve"> </w:t>
      </w:r>
      <w:r>
        <w:t xml:space="preserve">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"assessment_lead"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"instanceUrl"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"https://acme.service-now.com"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"healthScore"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"quickWinCount"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compassLeadId</w:t>
      </w:r>
      <w:r>
        <w:t xml:space="preserve"> </w:t>
      </w:r>
      <w:r>
        <w:t xml:space="preserve">from the Compass response.</w:t>
      </w:r>
    </w:p>
    <w:bookmarkEnd w:id="15"/>
    <w:bookmarkStart w:id="16" w:name="calibration-data-received-from-compass"/>
    <w:p>
      <w:pPr>
        <w:pStyle w:val="Heading3"/>
      </w:pPr>
      <w:r>
        <w:t xml:space="preserve">Calibration Data Received from Compass</w:t>
      </w:r>
    </w:p>
    <w:p>
      <w:pPr>
        <w:pStyle w:val="FirstParagraph"/>
      </w:pPr>
      <w:r>
        <w:t xml:space="preserve">Compass records actual engagement hours. These flow back to Bearing via the</w:t>
      </w:r>
      <w:r>
        <w:t xml:space="preserve"> </w:t>
      </w:r>
      <w:r>
        <w:rPr>
          <w:rStyle w:val="VerbatimChar"/>
        </w:rPr>
        <w:t xml:space="preserve">benchmarks.recordActualHours</w:t>
      </w:r>
      <w:r>
        <w:t xml:space="preserve"> </w:t>
      </w:r>
      <w:r>
        <w:t xml:space="preserve">tRPC procedure, which updates</w:t>
      </w:r>
      <w:r>
        <w:t xml:space="preserve"> </w:t>
      </w:r>
      <w:r>
        <w:rPr>
          <w:rStyle w:val="VerbatimChar"/>
        </w:rPr>
        <w:t xml:space="preserve">calibration_factor</w:t>
      </w:r>
      <w:r>
        <w:t xml:space="preserve"> </w:t>
      </w:r>
      <w:r>
        <w:t xml:space="preserve">on the corresponding</w:t>
      </w:r>
      <w:r>
        <w:t xml:space="preserve"> </w:t>
      </w:r>
      <w:r>
        <w:rPr>
          <w:rStyle w:val="VerbatimChar"/>
        </w:rPr>
        <w:t xml:space="preserve">remediation_patterns</w:t>
      </w:r>
      <w:r>
        <w:t xml:space="preserve"> </w:t>
      </w:r>
      <w:r>
        <w:t xml:space="preserve">row.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bearing---servicenow"/>
    <w:p>
      <w:pPr>
        <w:pStyle w:val="Heading2"/>
      </w:pPr>
      <w:r>
        <w:t xml:space="preserve">Bearing -&gt; ServiceNow</w:t>
      </w:r>
    </w:p>
    <w:bookmarkStart w:id="18" w:name="rest-api-client"/>
    <w:p>
      <w:pPr>
        <w:pStyle w:val="Heading3"/>
      </w:pPr>
      <w:r>
        <w:t xml:space="preserve">REST API Client</w:t>
      </w:r>
    </w:p>
    <w:p>
      <w:pPr>
        <w:pStyle w:val="FirstParagraph"/>
      </w:pPr>
      <w:r>
        <w:rPr>
          <w:b/>
          <w:bCs/>
        </w:rPr>
        <w:t xml:space="preserve">Source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src/lib/servicenow/api.ts</w:t>
      </w:r>
      <w:r>
        <w:t xml:space="preserve"> </w:t>
      </w:r>
      <w:r>
        <w:t xml:space="preserve">– ServiceNowClient class with Table API wrapper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src/lib/servicenow/auth.ts</w:t>
      </w:r>
      <w:r>
        <w:t xml:space="preserve"> </w:t>
      </w:r>
      <w:r>
        <w:t xml:space="preserve">– OAuth 2.0 and basic auth handling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src/lib/servicenow/tables.ts</w:t>
      </w:r>
      <w:r>
        <w:t xml:space="preserve"> </w:t>
      </w:r>
      <w:r>
        <w:t xml:space="preserve">– Table name constants per module</w:t>
      </w:r>
    </w:p>
    <w:bookmarkEnd w:id="18"/>
    <w:bookmarkStart w:id="19" w:name="authentication-methods"/>
    <w:p>
      <w:pPr>
        <w:pStyle w:val="Heading3"/>
      </w:pPr>
      <w:r>
        <w:t xml:space="preserve">Authentication Methods</w:t>
      </w:r>
    </w:p>
    <w:p>
      <w:pPr>
        <w:pStyle w:val="FirstParagraph"/>
      </w:pPr>
      <w:r>
        <w:rPr>
          <w:b/>
          <w:bCs/>
        </w:rPr>
        <w:t xml:space="preserve">OAuth 2.0 (Authorization Code Grant):</w:t>
      </w:r>
      <w:r>
        <w:t xml:space="preserve"> </w:t>
      </w:r>
      <w:r>
        <w:t xml:space="preserve">1. Redirect user to:</w:t>
      </w:r>
      <w:r>
        <w:t xml:space="preserve"> </w:t>
      </w:r>
      <w:r>
        <w:rPr>
          <w:rStyle w:val="VerbatimChar"/>
        </w:rPr>
        <w:t xml:space="preserve">https://{instance}.service-now.com/oauth_auth.do?response_type=code&amp;client_id={client_id}&amp;redirect_uri={redirect_uri}</w:t>
      </w:r>
      <w:r>
        <w:t xml:space="preserve"> </w:t>
      </w:r>
      <w:r>
        <w:t xml:space="preserve">2. Exchange code for token:</w:t>
      </w:r>
      <w:r>
        <w:t xml:space="preserve"> </w:t>
      </w:r>
      <w:r>
        <w:rPr>
          <w:rStyle w:val="VerbatimChar"/>
        </w:rPr>
        <w:t xml:space="preserve">POST /oauth_token.do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grant_type=authorization_code</w:t>
      </w:r>
      <w:r>
        <w:t xml:space="preserve"> </w:t>
      </w:r>
      <w:r>
        <w:t xml:space="preserve">3. Refresh:</w:t>
      </w:r>
      <w:r>
        <w:t xml:space="preserve"> </w:t>
      </w:r>
      <w:r>
        <w:rPr>
          <w:rStyle w:val="VerbatimChar"/>
        </w:rPr>
        <w:t xml:space="preserve">POST /oauth_token.do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grant_type=refresh_token</w:t>
      </w:r>
    </w:p>
    <w:p>
      <w:pPr>
        <w:pStyle w:val="BodyText"/>
      </w:pPr>
      <w:r>
        <w:t xml:space="preserve">Environment variables:</w:t>
      </w:r>
      <w:r>
        <w:t xml:space="preserve"> </w:t>
      </w:r>
      <w:r>
        <w:rPr>
          <w:rStyle w:val="VerbatimChar"/>
        </w:rPr>
        <w:t xml:space="preserve">SERVICENOW_CLIENT_ID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SERVICENOW_CLIENT_SECRET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SERVICENOW_REDIRECT_URI</w:t>
      </w:r>
    </w:p>
    <w:p>
      <w:pPr>
        <w:pStyle w:val="BodyText"/>
      </w:pPr>
      <w:r>
        <w:rPr>
          <w:b/>
          <w:bCs/>
        </w:rPr>
        <w:t xml:space="preserve">Basic Auth:</w:t>
      </w:r>
      <w:r>
        <w:t xml:space="preserve"> </w:t>
      </w:r>
      <w:r>
        <w:rPr>
          <w:rStyle w:val="VerbatimChar"/>
        </w:rPr>
        <w:t xml:space="preserve">Authorization: Basic base64(username:password)</w:t>
      </w:r>
    </w:p>
    <w:p>
      <w:pPr>
        <w:pStyle w:val="BodyText"/>
      </w:pPr>
      <w:r>
        <w:t xml:space="preserve">Credentials are encrypted at rest (encryption module pending full implementation).</w:t>
      </w:r>
    </w:p>
    <w:bookmarkEnd w:id="19"/>
    <w:bookmarkStart w:id="20" w:name="table-api-patterns"/>
    <w:p>
      <w:pPr>
        <w:pStyle w:val="Heading3"/>
      </w:pPr>
      <w:r>
        <w:t xml:space="preserve">Table API Patterns</w:t>
      </w:r>
    </w:p>
    <w:p>
      <w:pPr>
        <w:pStyle w:val="SourceCode"/>
      </w:pPr>
      <w:r>
        <w:rPr>
          <w:rStyle w:val="VerbatimChar"/>
        </w:rPr>
        <w:t xml:space="preserve">GET /api/now/table/{table_name}</w:t>
      </w:r>
      <w:r>
        <w:br/>
      </w:r>
      <w:r>
        <w:rPr>
          <w:rStyle w:val="VerbatimChar"/>
        </w:rPr>
        <w:t xml:space="preserve">  ?sysparm_query={encoded_query}</w:t>
      </w:r>
      <w:r>
        <w:br/>
      </w:r>
      <w:r>
        <w:rPr>
          <w:rStyle w:val="VerbatimChar"/>
        </w:rPr>
        <w:t xml:space="preserve">  &amp;sysparm_fields={comma_separated_fields}</w:t>
      </w:r>
      <w:r>
        <w:br/>
      </w:r>
      <w:r>
        <w:rPr>
          <w:rStyle w:val="VerbatimChar"/>
        </w:rPr>
        <w:t xml:space="preserve">  &amp;sysparm_limit={limit}</w:t>
      </w:r>
      <w:r>
        <w:br/>
      </w:r>
      <w:r>
        <w:rPr>
          <w:rStyle w:val="VerbatimChar"/>
        </w:rPr>
        <w:t xml:space="preserve">  &amp;sysparm_offset={offset}</w:t>
      </w:r>
      <w:r>
        <w:br/>
      </w:r>
      <w:r>
        <w:rPr>
          <w:rStyle w:val="VerbatimChar"/>
        </w:rPr>
        <w:t xml:space="preserve">  &amp;sysparm_display_value=false</w:t>
      </w:r>
    </w:p>
    <w:p>
      <w:pPr>
        <w:pStyle w:val="Compact"/>
        <w:numPr>
          <w:ilvl w:val="0"/>
          <w:numId w:val="1002"/>
        </w:numPr>
      </w:pPr>
      <w:r>
        <w:t xml:space="preserve">Default limit: 100, max: 10000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sysparm_offset</w:t>
      </w:r>
      <w:r>
        <w:t xml:space="preserve"> </w:t>
      </w:r>
      <w:r>
        <w:t xml:space="preserve">for pagination</w:t>
      </w:r>
    </w:p>
    <w:p>
      <w:pPr>
        <w:pStyle w:val="Compact"/>
        <w:numPr>
          <w:ilvl w:val="0"/>
          <w:numId w:val="1002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X-Total-Count</w:t>
      </w:r>
      <w:r>
        <w:t xml:space="preserve"> </w:t>
      </w:r>
      <w:r>
        <w:t xml:space="preserve">header for total records</w:t>
      </w:r>
    </w:p>
    <w:p>
      <w:pPr>
        <w:pStyle w:val="Compact"/>
        <w:numPr>
          <w:ilvl w:val="0"/>
          <w:numId w:val="1002"/>
        </w:numPr>
      </w:pPr>
      <w:r>
        <w:t xml:space="preserve">ServiceNow rate limits apply (varies by instance edition)</w:t>
      </w:r>
    </w:p>
    <w:bookmarkEnd w:id="20"/>
    <w:bookmarkStart w:id="21" w:name="connection-testing"/>
    <w:p>
      <w:pPr>
        <w:pStyle w:val="Heading3"/>
      </w:pPr>
      <w:r>
        <w:t xml:space="preserve">Connection Testing</w:t>
      </w:r>
    </w:p>
    <w:p>
      <w:pPr>
        <w:pStyle w:val="SourceCode"/>
      </w:pPr>
      <w:r>
        <w:rPr>
          <w:rStyle w:val="VerbatimChar"/>
        </w:rPr>
        <w:t xml:space="preserve">POST /api/connections/test</w:t>
      </w:r>
    </w:p>
    <w:p>
      <w:pPr>
        <w:pStyle w:val="FirstParagraph"/>
      </w:pPr>
      <w:r>
        <w:t xml:space="preserve">Verifies connectivity by calling</w:t>
      </w:r>
      <w:r>
        <w:t xml:space="preserve"> </w:t>
      </w:r>
      <w:r>
        <w:rPr>
          <w:rStyle w:val="VerbatimChar"/>
        </w:rPr>
        <w:t xml:space="preserve">ServiceNowClient.testConnection()</w:t>
      </w:r>
      <w:r>
        <w:t xml:space="preserve"> </w:t>
      </w:r>
      <w:r>
        <w:t xml:space="preserve">which queries a lightweight endpoint on the target instance.</w:t>
      </w:r>
    </w:p>
    <w:bookmarkEnd w:id="21"/>
    <w:bookmarkStart w:id="22" w:name="tables-queried-by-module"/>
    <w:p>
      <w:pPr>
        <w:pStyle w:val="Heading3"/>
      </w:pPr>
      <w:r>
        <w:t xml:space="preserve">Tables Queried by Module</w:t>
      </w:r>
    </w:p>
    <w:p>
      <w:pPr>
        <w:pStyle w:val="FirstParagraph"/>
      </w:pPr>
      <w:r>
        <w:rPr>
          <w:b/>
          <w:bCs/>
        </w:rPr>
        <w:t xml:space="preserve">Core Platform:</w:t>
      </w:r>
      <w:r>
        <w:t xml:space="preserve"> </w:t>
      </w:r>
      <w:r>
        <w:t xml:space="preserve">sys_script, sys_script_include, sys_ui_policy, sys_ui_action, sys_dictionary, sys_db_object, sys_scope, sys_update_set, sys_update_xml, sys_security_acl, sys_user_has_role, sys_properties</w:t>
      </w:r>
    </w:p>
    <w:p>
      <w:pPr>
        <w:pStyle w:val="BodyText"/>
      </w:pPr>
      <w:r>
        <w:rPr>
          <w:b/>
          <w:bCs/>
        </w:rPr>
        <w:t xml:space="preserve">CMDB:</w:t>
      </w:r>
      <w:r>
        <w:t xml:space="preserve"> </w:t>
      </w:r>
      <w:r>
        <w:t xml:space="preserve">cmdb_ci, cmdb_rel_ci, cmdb_rel_type, cmn_location, discovery_status, svc_ci_assoc, cmdb_ci_service, cmdb_ci_service_auto</w:t>
      </w:r>
    </w:p>
    <w:p>
      <w:pPr>
        <w:pStyle w:val="BodyText"/>
      </w:pPr>
      <w:r>
        <w:rPr>
          <w:b/>
          <w:bCs/>
        </w:rPr>
        <w:t xml:space="preserve">ITSM:</w:t>
      </w:r>
      <w:r>
        <w:t xml:space="preserve"> </w:t>
      </w:r>
      <w:r>
        <w:t xml:space="preserve">incident, problem, change_request, sc_request, sc_task, task_sla, sla_definition, sys_trigger, sys_user_group</w:t>
      </w:r>
    </w:p>
    <w:p>
      <w:pPr>
        <w:pStyle w:val="BodyText"/>
      </w:pPr>
      <w:r>
        <w:rPr>
          <w:b/>
          <w:bCs/>
        </w:rPr>
        <w:t xml:space="preserve">ITAM:</w:t>
      </w:r>
      <w:r>
        <w:t xml:space="preserve"> </w:t>
      </w:r>
      <w:r>
        <w:t xml:space="preserve">alm_hardware, alm_consumable, alm_license, cmdb_sam_sw_install, cmdb_software_product_model, ast_contract, alm_stockroom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709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Where to Find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</w:pPr>
            <w:r>
              <w:t xml:space="preserve">Supabase project settings -&gt; Database -&gt;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Supabase project URL</w:t>
            </w:r>
          </w:p>
        </w:tc>
        <w:tc>
          <w:tcPr/>
          <w:p>
            <w:pPr>
              <w:pStyle w:val="Compact"/>
            </w:pPr>
            <w:r>
              <w:t xml:space="preserve">Supabase project settings -&gt; API -&gt; Project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Supabase anonymous/public key</w:t>
            </w:r>
          </w:p>
        </w:tc>
        <w:tc>
          <w:tcPr/>
          <w:p>
            <w:pPr>
              <w:pStyle w:val="Compact"/>
            </w:pPr>
            <w:r>
              <w:t xml:space="preserve">Supabase project settings -&gt; API -&gt; anon/public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Supabase service role key (server-side only)</w:t>
            </w:r>
          </w:p>
        </w:tc>
        <w:tc>
          <w:tcPr/>
          <w:p>
            <w:pPr>
              <w:pStyle w:val="Compact"/>
            </w:pPr>
            <w:r>
              <w:t xml:space="preserve">Supabase project settings -&gt; API -&gt; service_role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</w:pPr>
            <w:r>
              <w:t xml:space="preserve">Session encryption secret</w:t>
            </w:r>
          </w:p>
        </w:tc>
        <w:tc>
          <w:tcPr/>
          <w:p>
            <w:pPr>
              <w:pStyle w:val="Compact"/>
            </w:pPr>
            <w:r>
              <w:t xml:space="preserve">Generate with</w:t>
            </w:r>
            <w:r>
              <w:t xml:space="preserve"> </w:t>
            </w:r>
            <w:r>
              <w:rPr>
                <w:rStyle w:val="VerbatimChar"/>
              </w:rPr>
              <w:t xml:space="preserve">openssl rand -base64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t xml:space="preserve">Application base URL</w:t>
            </w:r>
          </w:p>
        </w:tc>
        <w:tc>
          <w:tcPr/>
          <w:p>
            <w:pPr>
              <w:pStyle w:val="Compact"/>
            </w:pPr>
            <w:r>
              <w:t xml:space="preserve">Your deployment URL (e.g. </w:t>
            </w:r>
            <w:r>
              <w:rPr>
                <w:rStyle w:val="VerbatimChar"/>
              </w:rPr>
              <w:t xml:space="preserve">https://bearing.avennorth.com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SERVICENOW_CLIENT_ID</w:t>
            </w:r>
          </w:p>
        </w:tc>
        <w:tc>
          <w:tcPr/>
          <w:p>
            <w:pPr>
              <w:pStyle w:val="Compact"/>
            </w:pPr>
            <w:r>
              <w:t xml:space="preserve">OAuth 2.0 client ID for ServiceNow</w:t>
            </w:r>
          </w:p>
        </w:tc>
        <w:tc>
          <w:tcPr/>
          <w:p>
            <w:pPr>
              <w:pStyle w:val="Compact"/>
            </w:pPr>
            <w:r>
              <w:t xml:space="preserve">ServiceNow instance -&gt; System OAuth -&gt; Application Registries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SERVICENOW_CLIENT_SECRET</w:t>
            </w:r>
          </w:p>
        </w:tc>
        <w:tc>
          <w:tcPr/>
          <w:p>
            <w:pPr>
              <w:pStyle w:val="Compact"/>
            </w:pPr>
            <w:r>
              <w:t xml:space="preserve">OAuth 2.0 client secret</w:t>
            </w:r>
          </w:p>
        </w:tc>
        <w:tc>
          <w:tcPr/>
          <w:p>
            <w:pPr>
              <w:pStyle w:val="Compact"/>
            </w:pPr>
            <w:r>
              <w:t xml:space="preserve">Same location as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SERVICENOW_REDIRECT_URI</w:t>
            </w:r>
          </w:p>
        </w:tc>
        <w:tc>
          <w:tcPr/>
          <w:p>
            <w:pPr>
              <w:pStyle w:val="Compact"/>
            </w:pPr>
            <w:r>
              <w:t xml:space="preserve">OAuth 2.0 redirect URI</w:t>
            </w:r>
          </w:p>
        </w:tc>
        <w:tc>
          <w:tcPr/>
          <w:p>
            <w:pPr>
              <w:pStyle w:val="Compact"/>
            </w:pPr>
            <w:r>
              <w:t xml:space="preserve">Must match the registered redirect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PATHFINDER_WEBHOOK_SECRET</w:t>
            </w:r>
          </w:p>
        </w:tc>
        <w:tc>
          <w:tcPr/>
          <w:p>
            <w:pPr>
              <w:pStyle w:val="Compact"/>
            </w:pPr>
            <w:r>
              <w:t xml:space="preserve">API key for Pathfinder webhook authentication</w:t>
            </w:r>
          </w:p>
        </w:tc>
        <w:tc>
          <w:tcPr/>
          <w:p>
            <w:pPr>
              <w:pStyle w:val="Compact"/>
            </w:pPr>
            <w:r>
              <w:t xml:space="preserve">Shared with Pathfinder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</w:pPr>
            <w:r>
              <w:t xml:space="preserve">AES key for encrypting stored credentials</w:t>
            </w:r>
          </w:p>
        </w:tc>
        <w:tc>
          <w:tcPr/>
          <w:p>
            <w:pPr>
              <w:pStyle w:val="Compact"/>
            </w:pPr>
            <w:r>
              <w:t xml:space="preserve">Generate with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REPORTS_STORAGE_BUCKET</w:t>
            </w:r>
          </w:p>
        </w:tc>
        <w:tc>
          <w:tcPr/>
          <w:p>
            <w:pPr>
              <w:pStyle w:val="Compact"/>
            </w:pPr>
            <w:r>
              <w:t xml:space="preserve">Storage bucket for generated reports</w:t>
            </w:r>
          </w:p>
        </w:tc>
        <w:tc>
          <w:tcPr/>
          <w:p>
            <w:pPr>
              <w:pStyle w:val="Compact"/>
            </w:pPr>
            <w:r>
              <w:t xml:space="preserve">Supabase Storage or S3-compatible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COMPASS_URL</w:t>
            </w:r>
          </w:p>
        </w:tc>
        <w:tc>
          <w:tcPr/>
          <w:p>
            <w:pPr>
              <w:pStyle w:val="Compact"/>
            </w:pPr>
            <w:r>
              <w:t xml:space="preserve">Compass CRM base URL</w:t>
            </w:r>
          </w:p>
        </w:tc>
        <w:tc>
          <w:tcPr/>
          <w:p>
            <w:pPr>
              <w:pStyle w:val="Compact"/>
            </w:pPr>
            <w:r>
              <w:t xml:space="preserve">Compass deployment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COMPASS_API_KEY</w:t>
            </w:r>
          </w:p>
        </w:tc>
        <w:tc>
          <w:tcPr/>
          <w:p>
            <w:pPr>
              <w:pStyle w:val="Compact"/>
            </w:pPr>
            <w:r>
              <w:t xml:space="preserve">API key for Compass integration</w:t>
            </w:r>
          </w:p>
        </w:tc>
        <w:tc>
          <w:tcPr/>
          <w:p>
            <w:pPr>
              <w:pStyle w:val="Compact"/>
            </w:pPr>
            <w:r>
              <w:t xml:space="preserve">Compass admin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ENABLE_PATHFINDER_INTEGRATION</w:t>
            </w:r>
          </w:p>
        </w:tc>
        <w:tc>
          <w:tcPr/>
          <w:p>
            <w:pPr>
              <w:pStyle w:val="Compact"/>
            </w:pPr>
            <w:r>
              <w:t xml:space="preserve">Feature flag (true/false, default false)</w:t>
            </w:r>
          </w:p>
        </w:tc>
        <w:tc>
          <w:tcPr/>
          <w:p>
            <w:pPr>
              <w:pStyle w:val="Compact"/>
            </w:pPr>
            <w:r>
              <w:t xml:space="preserve">Set to true when Pathfinder is 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ENABLE_BENCHMARKING</w:t>
            </w:r>
          </w:p>
        </w:tc>
        <w:tc>
          <w:tcPr/>
          <w:p>
            <w:pPr>
              <w:pStyle w:val="Compact"/>
            </w:pPr>
            <w:r>
              <w:t xml:space="preserve">Feature flag (true/false, default false)</w:t>
            </w:r>
          </w:p>
        </w:tc>
        <w:tc>
          <w:tcPr/>
          <w:p>
            <w:pPr>
              <w:pStyle w:val="Compact"/>
            </w:pPr>
            <w:r>
              <w:t xml:space="preserve">Set to true when 10+ assessments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ENABLE_CONTINUOUS_MONITORING</w:t>
            </w:r>
          </w:p>
        </w:tc>
        <w:tc>
          <w:tcPr/>
          <w:p>
            <w:pPr>
              <w:pStyle w:val="Compact"/>
            </w:pPr>
            <w:r>
              <w:t xml:space="preserve">Feature flag (true/false, default false)</w:t>
            </w:r>
          </w:p>
        </w:tc>
        <w:tc>
          <w:tcPr/>
          <w:p>
            <w:pPr>
              <w:pStyle w:val="Compact"/>
            </w:pPr>
            <w:r>
              <w:t xml:space="preserve">Set to true for recurring scans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