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earing-patent-protected-features"/>
    <w:p>
      <w:pPr>
        <w:pStyle w:val="Heading1"/>
      </w:pPr>
      <w:r>
        <w:t xml:space="preserve">Bearing – Patent-Protected Features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CONFIDENTIAL. Not for customer distribution.</w:t>
      </w:r>
      <w:r>
        <w:t xml:space="preserve"> </w:t>
      </w:r>
      <w:r>
        <w:t xml:space="preserve">Last updated: 2026-03-29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Bearing implements six provisional patent claims. Each claim maps to a specific data flow chain in the codebase. These chains must be preserved during any refactoring. Do not shortcut the documented processing steps.</w:t>
      </w:r>
    </w:p>
    <w:p>
      <w:r>
        <w:pict>
          <v:rect style="width:0;height:1.5pt" o:hralign="center" o:hrstd="t" o:hr="t"/>
        </w:pict>
      </w:r>
    </w:p>
    <w:bookmarkEnd w:id="9"/>
    <w:bookmarkStart w:id="13" w:name="claim-1-assessment-to-sow-pipeline"/>
    <w:p>
      <w:pPr>
        <w:pStyle w:val="Heading2"/>
      </w:pPr>
      <w:r>
        <w:t xml:space="preserve">Claim 1: Assessment-to-SOW Pipeline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Automated generation of Statements of Work from technical debt assessment findings with effort-based pricing.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end-to-end pipeline from scanning a ServiceNow instance for technical debt through to generating a ready-to-send Statement of Work document with scope, effort estimates, pricing, deliverables, and signature blocks.</w:t>
      </w:r>
    </w:p>
    <w:bookmarkStart w:id="10" w:name="implementation-chain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scan engine</w:t>
      </w:r>
      <w:r>
        <w:br/>
      </w:r>
      <w:r>
        <w:rPr>
          <w:rStyle w:val="VerbatimChar"/>
        </w:rPr>
        <w:t xml:space="preserve">  -&gt; findings (each with severity, effort, risk, remediation_pattern_key)</w:t>
      </w:r>
      <w:r>
        <w:br/>
      </w:r>
      <w:r>
        <w:rPr>
          <w:rStyle w:val="VerbatimChar"/>
        </w:rPr>
        <w:t xml:space="preserve">    -&gt; remediation patterns (SOW scope templates, assumptions, deliverables, exclusions)</w:t>
      </w:r>
      <w:r>
        <w:br/>
      </w:r>
      <w:r>
        <w:rPr>
          <w:rStyle w:val="VerbatimChar"/>
        </w:rPr>
        <w:t xml:space="preserve">      -&gt; revenue calculator (rate card * effort * affected count)</w:t>
      </w:r>
      <w:r>
        <w:br/>
      </w:r>
      <w:r>
        <w:rPr>
          <w:rStyle w:val="VerbatimChar"/>
        </w:rPr>
        <w:t xml:space="preserve">        -&gt; SOW generator (DOCX with scope, pricing, milestones, signatures)</w:t>
      </w:r>
    </w:p>
    <w:bookmarkEnd w:id="10"/>
    <w:bookmarkStart w:id="11" w:name="key-files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src/server/scanner/engine.ts</w:t>
            </w:r>
          </w:p>
        </w:tc>
        <w:tc>
          <w:tcPr/>
          <w:p>
            <w:pPr>
              <w:pStyle w:val="Compact"/>
            </w:pPr>
            <w:r>
              <w:t xml:space="preserve">Runs rules, produces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supabase/seed.sql</w:t>
            </w:r>
          </w:p>
        </w:tc>
        <w:tc>
          <w:tcPr/>
          <w:p>
            <w:pPr>
              <w:pStyle w:val="Compact"/>
            </w:pPr>
            <w:r>
              <w:t xml:space="preserve">Remediation patterns with SOW template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src/server/reporting/revenue-calculator.ts</w:t>
            </w:r>
          </w:p>
        </w:tc>
        <w:tc>
          <w:tcPr/>
          <w:p>
            <w:pPr>
              <w:pStyle w:val="Compact"/>
            </w:pPr>
            <w:r>
              <w:t xml:space="preserve">Applies rate card to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src/server/reporting/sow-generator.ts</w:t>
            </w:r>
          </w:p>
        </w:tc>
        <w:tc>
          <w:tcPr/>
          <w:p>
            <w:pPr>
              <w:pStyle w:val="Compact"/>
            </w:pPr>
            <w:r>
              <w:t xml:space="preserve">Generates DOCX from findings + patterns + rate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src/app/api/reports/sow/route.ts</w:t>
            </w:r>
          </w:p>
        </w:tc>
        <w:tc>
          <w:tcPr/>
          <w:p>
            <w:pPr>
              <w:pStyle w:val="Compact"/>
            </w:pPr>
            <w:r>
              <w:t xml:space="preserve">API endpoint that fetches patterns and calls generator</w:t>
            </w:r>
          </w:p>
        </w:tc>
      </w:tr>
    </w:tbl>
    <w:bookmarkEnd w:id="11"/>
    <w:bookmarkStart w:id="12" w:name="critical-path-requirements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1"/>
        </w:numPr>
      </w:pPr>
      <w:r>
        <w:t xml:space="preserve">Every finding MUST map to a</w:t>
      </w:r>
      <w:r>
        <w:t xml:space="preserve"> </w:t>
      </w:r>
      <w:r>
        <w:rPr>
          <w:rStyle w:val="VerbatimChar"/>
        </w:rPr>
        <w:t xml:space="preserve">remediation_pattern_key</w:t>
      </w:r>
    </w:p>
    <w:p>
      <w:pPr>
        <w:pStyle w:val="Compact"/>
        <w:numPr>
          <w:ilvl w:val="0"/>
          <w:numId w:val="1001"/>
        </w:numPr>
      </w:pPr>
      <w:r>
        <w:t xml:space="preserve">Every remediation pattern MUST include</w:t>
      </w:r>
      <w:r>
        <w:t xml:space="preserve"> </w:t>
      </w:r>
      <w:r>
        <w:rPr>
          <w:rStyle w:val="VerbatimChar"/>
        </w:rPr>
        <w:t xml:space="preserve">sow_scope_template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sow_assumptions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sow_deliverables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sow_exclusions</w:t>
      </w:r>
    </w:p>
    <w:p>
      <w:pPr>
        <w:pStyle w:val="Compact"/>
        <w:numPr>
          <w:ilvl w:val="0"/>
          <w:numId w:val="1001"/>
        </w:numPr>
      </w:pPr>
      <w:r>
        <w:t xml:space="preserve">The SOW generator MUST pull template language from the remediation patterns – not from hardcoded strings</w:t>
      </w:r>
    </w:p>
    <w:p>
      <w:pPr>
        <w:pStyle w:val="Compact"/>
        <w:numPr>
          <w:ilvl w:val="0"/>
          <w:numId w:val="1001"/>
        </w:numPr>
      </w:pPr>
      <w:r>
        <w:t xml:space="preserve">Revenue calculation MUST use the org’s rate card, not fixed values</w:t>
      </w:r>
    </w:p>
    <w:p>
      <w:pPr>
        <w:pStyle w:val="Compact"/>
        <w:numPr>
          <w:ilvl w:val="0"/>
          <w:numId w:val="1001"/>
        </w:numPr>
      </w:pPr>
      <w:r>
        <w:t xml:space="preserve">The generated document MUST include: scope of work, assumptions, deliverables, exclusions, timeline, pricing table, and signature blocks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laim-2-calibration-feedback-loop"/>
    <w:p>
      <w:pPr>
        <w:pStyle w:val="Heading2"/>
      </w:pPr>
      <w:r>
        <w:t xml:space="preserve">Claim 2: Calibration Feedback Loop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Tracking actual engagement hours against estimates to auto-calibrate future projections.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closed-loop system where actual hours from completed engagements are compared to Bearing’s estimates, producing a calibration factor that is applied to all future estimates for that remediation pattern.</w:t>
      </w:r>
    </w:p>
    <w:bookmarkStart w:id="14" w:name="implementation-chain-1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engagement completes (actual hours recorded)</w:t>
      </w:r>
      <w:r>
        <w:br/>
      </w:r>
      <w:r>
        <w:rPr>
          <w:rStyle w:val="VerbatimChar"/>
        </w:rPr>
        <w:t xml:space="preserve">  -&gt; CalibrationTracker.recordActualHours()</w:t>
      </w:r>
      <w:r>
        <w:br/>
      </w:r>
      <w:r>
        <w:rPr>
          <w:rStyle w:val="VerbatimChar"/>
        </w:rPr>
        <w:t xml:space="preserve">    -&gt; compute accuracy ratio: actual / estimated midpoint</w:t>
      </w:r>
      <w:r>
        <w:br/>
      </w:r>
      <w:r>
        <w:rPr>
          <w:rStyle w:val="VerbatimChar"/>
        </w:rPr>
        <w:t xml:space="preserve">      -&gt; running average update: newFactor = (oldFactor * oldN + sampleRatio) / (oldN + 1)</w:t>
      </w:r>
      <w:r>
        <w:br/>
      </w:r>
      <w:r>
        <w:rPr>
          <w:rStyle w:val="VerbatimChar"/>
        </w:rPr>
        <w:t xml:space="preserve">        -&gt; update remediation_patterns.calibration_factor</w:t>
      </w:r>
      <w:r>
        <w:br/>
      </w:r>
      <w:r>
        <w:rPr>
          <w:rStyle w:val="VerbatimChar"/>
        </w:rPr>
        <w:t xml:space="preserve">          -&gt; future estimates: baseHours * calibration_factor (after 3+ samples)</w:t>
      </w:r>
    </w:p>
    <w:bookmarkEnd w:id="14"/>
    <w:bookmarkStart w:id="15" w:name="key-files-1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src/server/jobs/calibration-tracker.ts</w:t>
            </w:r>
          </w:p>
        </w:tc>
        <w:tc>
          <w:tcPr/>
          <w:p>
            <w:pPr>
              <w:pStyle w:val="Compact"/>
            </w:pPr>
            <w:r>
              <w:t xml:space="preserve">CalibrationTracker class: records hours, computes factors, applies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src/server/trpc/routers/benchmarks.ts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recordActualHours</w:t>
            </w:r>
            <w:r>
              <w:t xml:space="preserve"> </w:t>
            </w:r>
            <w:r>
              <w:t xml:space="preserve">mutation,</w:t>
            </w:r>
            <w:r>
              <w:t xml:space="preserve"> </w:t>
            </w:r>
            <w:r>
              <w:rPr>
                <w:rStyle w:val="VerbatimChar"/>
              </w:rPr>
              <w:t xml:space="preserve">getCalibrationFactors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supabase/migrations/00001_initial_schema.sql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calibration_factor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calibration_sample_size</w:t>
            </w:r>
            <w:r>
              <w:t xml:space="preserve"> </w:t>
            </w:r>
            <w:r>
              <w:t xml:space="preserve">columns on</w:t>
            </w:r>
            <w:r>
              <w:t xml:space="preserve"> </w:t>
            </w:r>
            <w:r>
              <w:rPr>
                <w:rStyle w:val="VerbatimChar"/>
              </w:rPr>
              <w:t xml:space="preserve">remediation_patterns</w:t>
            </w:r>
          </w:p>
        </w:tc>
      </w:tr>
    </w:tbl>
    <w:bookmarkEnd w:id="15"/>
    <w:bookmarkStart w:id="16" w:name="critical-path-requirements-1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2"/>
        </w:numPr>
      </w:pPr>
      <w:r>
        <w:t xml:space="preserve">Actual hours MUST be compared against the estimated midpoint</w:t>
      </w:r>
      <w:r>
        <w:t xml:space="preserve"> </w:t>
      </w:r>
      <w:r>
        <w:rPr>
          <w:rStyle w:val="VerbatimChar"/>
        </w:rPr>
        <w:t xml:space="preserve">(low + high) / 2</w:t>
      </w:r>
    </w:p>
    <w:p>
      <w:pPr>
        <w:pStyle w:val="Compact"/>
        <w:numPr>
          <w:ilvl w:val="0"/>
          <w:numId w:val="1002"/>
        </w:numPr>
      </w:pPr>
      <w:r>
        <w:t xml:space="preserve">The running average formula MUST be:</w:t>
      </w:r>
      <w:r>
        <w:t xml:space="preserve"> </w:t>
      </w:r>
      <w:r>
        <w:rPr>
          <w:rStyle w:val="VerbatimChar"/>
        </w:rPr>
        <w:t xml:space="preserve">(currentFactor * currentN + sampleRatio) / (currentN + 1)</w:t>
      </w:r>
    </w:p>
    <w:p>
      <w:pPr>
        <w:pStyle w:val="Compact"/>
        <w:numPr>
          <w:ilvl w:val="0"/>
          <w:numId w:val="1002"/>
        </w:numPr>
      </w:pPr>
      <w:r>
        <w:t xml:space="preserve">Calibration MUST NOT be applied until at least 3 samples exist (MIN_SAMPLE_SIZE = 3)</w:t>
      </w:r>
    </w:p>
    <w:p>
      <w:pPr>
        <w:pStyle w:val="Compact"/>
        <w:numPr>
          <w:ilvl w:val="0"/>
          <w:numId w:val="1002"/>
        </w:numPr>
      </w:pPr>
      <w:r>
        <w:t xml:space="preserve">The calibration factor MUST be stored on the</w:t>
      </w:r>
      <w:r>
        <w:t xml:space="preserve"> </w:t>
      </w:r>
      <w:r>
        <w:rPr>
          <w:rStyle w:val="VerbatimChar"/>
        </w:rPr>
        <w:t xml:space="preserve">remediation_patterns</w:t>
      </w:r>
      <w:r>
        <w:t xml:space="preserve"> </w:t>
      </w:r>
      <w:r>
        <w:t xml:space="preserve">table, not computed on the fly</w:t>
      </w:r>
    </w:p>
    <w:p>
      <w:pPr>
        <w:pStyle w:val="Compact"/>
        <w:numPr>
          <w:ilvl w:val="0"/>
          <w:numId w:val="1002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calibration_factor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calibration_sample_size</w:t>
      </w:r>
      <w:r>
        <w:t xml:space="preserve"> </w:t>
      </w:r>
      <w:r>
        <w:t xml:space="preserve">MUST be updated atomically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laim-3-dual-report-generation"/>
    <w:p>
      <w:pPr>
        <w:pStyle w:val="Heading2"/>
      </w:pPr>
      <w:r>
        <w:t xml:space="preserve">Claim 3: Dual-Report Generation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Single scan producing both internal (with pricing) and customer-facing (without pricing) reports.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ability to run a single assessment scan and generate two distinct report documents from the same findings: one for the consulting firm (with revenue, margins, and rate card data) and one for the customer (white-labeled, risk-focused, no pricing).</w:t>
      </w:r>
    </w:p>
    <w:bookmarkStart w:id="18" w:name="implementation-chain-2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single scan (ScanEngine.runExportScan)</w:t>
      </w:r>
      <w:r>
        <w:br/>
      </w:r>
      <w:r>
        <w:rPr>
          <w:rStyle w:val="VerbatimChar"/>
        </w:rPr>
        <w:t xml:space="preserve">  -&gt; one set of findings</w:t>
      </w:r>
      <w:r>
        <w:br/>
      </w:r>
      <w:r>
        <w:rPr>
          <w:rStyle w:val="VerbatimChar"/>
        </w:rPr>
        <w:t xml:space="preserve">    -&gt; consultant report generator (findings + rate card -&gt; DOCX with pricing/margins)</w:t>
      </w:r>
      <w:r>
        <w:br/>
      </w:r>
      <w:r>
        <w:rPr>
          <w:rStyle w:val="VerbatimChar"/>
        </w:rPr>
        <w:t xml:space="preserve">    -&gt; customer report generator (findings + branding -&gt; DOCX without pricing)</w:t>
      </w:r>
    </w:p>
    <w:bookmarkEnd w:id="18"/>
    <w:bookmarkStart w:id="19" w:name="key-files-2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src/server/scanner/engine.ts</w:t>
            </w:r>
          </w:p>
        </w:tc>
        <w:tc>
          <w:tcPr/>
          <w:p>
            <w:pPr>
              <w:pStyle w:val="Compact"/>
            </w:pPr>
            <w:r>
              <w:t xml:space="preserve">Single scan producing one findings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src/server/reporting/consultant-report.ts</w:t>
            </w:r>
          </w:p>
        </w:tc>
        <w:tc>
          <w:tcPr/>
          <w:p>
            <w:pPr>
              <w:pStyle w:val="Compact"/>
            </w:pPr>
            <w:r>
              <w:t xml:space="preserve">Internal report with pricing and margin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src/server/reporting/customer-report.ts</w:t>
            </w:r>
          </w:p>
        </w:tc>
        <w:tc>
          <w:tcPr/>
          <w:p>
            <w:pPr>
              <w:pStyle w:val="Compact"/>
            </w:pPr>
            <w:r>
              <w:t xml:space="preserve">White-labeled report without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src/app/api/reports/consultant/route.ts</w:t>
            </w:r>
          </w:p>
        </w:tc>
        <w:tc>
          <w:tcPr/>
          <w:p>
            <w:pPr>
              <w:pStyle w:val="Compact"/>
            </w:pPr>
            <w:r>
              <w:t xml:space="preserve">API endpoint for consultant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src/app/api/reports/customer/route.ts</w:t>
            </w:r>
          </w:p>
        </w:tc>
        <w:tc>
          <w:tcPr/>
          <w:p>
            <w:pPr>
              <w:pStyle w:val="Compact"/>
            </w:pPr>
            <w:r>
              <w:t xml:space="preserve">API endpoint for customer report</w:t>
            </w:r>
          </w:p>
        </w:tc>
      </w:tr>
    </w:tbl>
    <w:bookmarkEnd w:id="19"/>
    <w:bookmarkStart w:id="20" w:name="critical-path-requirements-2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3"/>
        </w:numPr>
      </w:pPr>
      <w:r>
        <w:t xml:space="preserve">There MUST be only one scan engine execution per assessment</w:t>
      </w:r>
    </w:p>
    <w:p>
      <w:pPr>
        <w:pStyle w:val="Compact"/>
        <w:numPr>
          <w:ilvl w:val="0"/>
          <w:numId w:val="1003"/>
        </w:numPr>
      </w:pPr>
      <w:r>
        <w:t xml:space="preserve">Both reports MUST reference the same findings from the same assessment</w:t>
      </w:r>
    </w:p>
    <w:p>
      <w:pPr>
        <w:pStyle w:val="Compact"/>
        <w:numPr>
          <w:ilvl w:val="0"/>
          <w:numId w:val="1003"/>
        </w:numPr>
      </w:pPr>
      <w:r>
        <w:t xml:space="preserve">The consultant report MUST include revenue projections, blended rate, and margin analysis</w:t>
      </w:r>
    </w:p>
    <w:p>
      <w:pPr>
        <w:pStyle w:val="Compact"/>
        <w:numPr>
          <w:ilvl w:val="0"/>
          <w:numId w:val="1003"/>
        </w:numPr>
      </w:pPr>
      <w:r>
        <w:t xml:space="preserve">The customer report MUST NOT include any pricing, rate card, or margin information</w:t>
      </w:r>
    </w:p>
    <w:p>
      <w:pPr>
        <w:pStyle w:val="Compact"/>
        <w:numPr>
          <w:ilvl w:val="0"/>
          <w:numId w:val="1003"/>
        </w:numPr>
      </w:pPr>
      <w:r>
        <w:t xml:space="preserve">The customer report MUST support white-labeling (org name, colors, logo, legal text)</w:t>
      </w:r>
    </w:p>
    <w:p>
      <w:pPr>
        <w:pStyle w:val="Compact"/>
        <w:numPr>
          <w:ilvl w:val="0"/>
          <w:numId w:val="1003"/>
        </w:numPr>
      </w:pPr>
      <w:r>
        <w:t xml:space="preserve">NEVER build separate scan logic for the two report types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laim-4-sanitized-export-assessment"/>
    <w:p>
      <w:pPr>
        <w:pStyle w:val="Heading2"/>
      </w:pPr>
      <w:r>
        <w:t xml:space="preserve">Claim 4: Sanitized Export Assessment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Technical debt assessment via sanitized JSON export without requiring direct API access.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ability to perform a complete technical debt assessment using a sanitized JSON export payload from a ServiceNow instance, without requiring API credentials or direct instance connectivity.</w:t>
      </w:r>
    </w:p>
    <w:bookmarkStart w:id="22" w:name="implementation-chain-3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customer provides sanitized JSON export</w:t>
      </w:r>
      <w:r>
        <w:br/>
      </w:r>
      <w:r>
        <w:rPr>
          <w:rStyle w:val="VerbatimChar"/>
        </w:rPr>
        <w:t xml:space="preserve">  -&gt; POST /api/export/upload (multipart form)</w:t>
      </w:r>
      <w:r>
        <w:br/>
      </w:r>
      <w:r>
        <w:rPr>
          <w:rStyle w:val="VerbatimChar"/>
        </w:rPr>
        <w:t xml:space="preserve">    -&gt; export-parser.ts validates payload against Zod schema</w:t>
      </w:r>
      <w:r>
        <w:br/>
      </w:r>
      <w:r>
        <w:rPr>
          <w:rStyle w:val="VerbatimChar"/>
        </w:rPr>
        <w:t xml:space="preserve">      -&gt; ScanEngine.runExportScan(payload)</w:t>
      </w:r>
      <w:r>
        <w:br/>
      </w:r>
      <w:r>
        <w:rPr>
          <w:rStyle w:val="VerbatimChar"/>
        </w:rPr>
        <w:t xml:space="preserve">        -&gt; same rule evaluation as live scan</w:t>
      </w:r>
      <w:r>
        <w:br/>
      </w:r>
      <w:r>
        <w:rPr>
          <w:rStyle w:val="VerbatimChar"/>
        </w:rPr>
        <w:t xml:space="preserve">          -&gt; same scoring, same findings, same reports</w:t>
      </w:r>
    </w:p>
    <w:bookmarkEnd w:id="22"/>
    <w:bookmarkStart w:id="23" w:name="key-files-3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src/server/scanner/export-parser.ts</w:t>
            </w:r>
          </w:p>
        </w:tc>
        <w:tc>
          <w:tcPr/>
          <w:p>
            <w:pPr>
              <w:pStyle w:val="Compact"/>
            </w:pPr>
            <w:r>
              <w:t xml:space="preserve">Zod schema validation and parsing of JSON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src/server/scanner/engine.ts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runExportScan()</w:t>
            </w:r>
            <w:r>
              <w:t xml:space="preserve"> </w:t>
            </w:r>
            <w:r>
              <w:t xml:space="preserve">processes the validated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src/app/api/export/upload/route.ts</w:t>
            </w:r>
          </w:p>
        </w:tc>
        <w:tc>
          <w:tcPr/>
          <w:p>
            <w:pPr>
              <w:pStyle w:val="Compact"/>
            </w:pPr>
            <w:r>
              <w:t xml:space="preserve">API endpoint: multipart form upload, parse, scan, persist</w:t>
            </w:r>
          </w:p>
        </w:tc>
      </w:tr>
    </w:tbl>
    <w:bookmarkEnd w:id="23"/>
    <w:bookmarkStart w:id="24" w:name="critical-path-requirements-3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4"/>
        </w:numPr>
      </w:pPr>
      <w:r>
        <w:t xml:space="preserve">The export parser MUST validate the payload against a strict Zod schema</w:t>
      </w:r>
    </w:p>
    <w:p>
      <w:pPr>
        <w:pStyle w:val="Compact"/>
        <w:numPr>
          <w:ilvl w:val="0"/>
          <w:numId w:val="1004"/>
        </w:numPr>
      </w:pPr>
      <w:r>
        <w:t xml:space="preserve">The scan engine MUST apply the same rules to export data as it does to live API data</w:t>
      </w:r>
    </w:p>
    <w:p>
      <w:pPr>
        <w:pStyle w:val="Compact"/>
        <w:numPr>
          <w:ilvl w:val="0"/>
          <w:numId w:val="1004"/>
        </w:numPr>
      </w:pPr>
      <w:r>
        <w:t xml:space="preserve">The export path MUST work independently of any ServiceNow API connection</w:t>
      </w:r>
    </w:p>
    <w:p>
      <w:pPr>
        <w:pStyle w:val="Compact"/>
        <w:numPr>
          <w:ilvl w:val="0"/>
          <w:numId w:val="1004"/>
        </w:numPr>
      </w:pPr>
      <w:r>
        <w:t xml:space="preserve">Export-based assessments MUST produce the same findings format as API-based scans</w:t>
      </w:r>
    </w:p>
    <w:p>
      <w:pPr>
        <w:pStyle w:val="Compact"/>
        <w:numPr>
          <w:ilvl w:val="0"/>
          <w:numId w:val="1004"/>
        </w:numPr>
      </w:pPr>
      <w:r>
        <w:t xml:space="preserve">The export payload MUST NOT contain customer credentials or PII beyond configuration metadata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2c6923336628aa79a93b60a4d89a3d848e57404"/>
    <w:p>
      <w:pPr>
        <w:pStyle w:val="Heading2"/>
      </w:pPr>
      <w:r>
        <w:t xml:space="preserve">Claim 5: Assessment-Triggered Discovery Deployment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Assessment findings triggering Pathfinder deployment recommendations.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system whereby CMDB/ITOM assessment findings indicating discovery gaps automatically trigger targeted Pathfinder agent deployment recommendations, including specific subnets, priority ordering, and estimated coverage impact.</w:t>
      </w:r>
    </w:p>
    <w:bookmarkStart w:id="26" w:name="implementation-chain-4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assessment findings identify CMDB gaps</w:t>
      </w:r>
      <w:r>
        <w:br/>
      </w:r>
      <w:r>
        <w:rPr>
          <w:rStyle w:val="VerbatimChar"/>
        </w:rPr>
        <w:t xml:space="preserve">  -&gt; coverage-analyzer.ts classifies CIs into four zones</w:t>
      </w:r>
      <w:r>
        <w:br/>
      </w:r>
      <w:r>
        <w:rPr>
          <w:rStyle w:val="VerbatimChar"/>
        </w:rPr>
        <w:t xml:space="preserve">    -&gt; dark-zone and discovery-only CIs identified</w:t>
      </w:r>
      <w:r>
        <w:br/>
      </w:r>
      <w:r>
        <w:rPr>
          <w:rStyle w:val="VerbatimChar"/>
        </w:rPr>
        <w:t xml:space="preserve">      -&gt; deployment-recommender.ts groups by /24 subnet</w:t>
      </w:r>
      <w:r>
        <w:br/>
      </w:r>
      <w:r>
        <w:rPr>
          <w:rStyle w:val="VerbatimChar"/>
        </w:rPr>
        <w:t xml:space="preserve">        -&gt; filters out subnets already covered by Pathfinder agents</w:t>
      </w:r>
      <w:r>
        <w:br/>
      </w:r>
      <w:r>
        <w:rPr>
          <w:rStyle w:val="VerbatimChar"/>
        </w:rPr>
        <w:t xml:space="preserve">          -&gt; generates prioritized deployment manifests</w:t>
      </w:r>
    </w:p>
    <w:bookmarkEnd w:id="26"/>
    <w:bookmarkStart w:id="27" w:name="key-files-4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src/server/integrations/pathfinder/coverage-analyzer.ts</w:t>
            </w:r>
          </w:p>
        </w:tc>
        <w:tc>
          <w:tcPr/>
          <w:p>
            <w:pPr>
              <w:pStyle w:val="Compact"/>
            </w:pPr>
            <w:r>
              <w:t xml:space="preserve">Four-zone coverage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src/server/integrations/pathfinder/deployment-recommender.ts</w:t>
            </w:r>
          </w:p>
        </w:tc>
        <w:tc>
          <w:tcPr/>
          <w:p>
            <w:pPr>
              <w:pStyle w:val="Compact"/>
            </w:pPr>
            <w:r>
              <w:t xml:space="preserve">Subnet grouping, priority ordering, manifest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src/server/scoring/pathfinder-fusion.ts</w:t>
            </w:r>
          </w:p>
        </w:tc>
        <w:tc>
          <w:tcPr/>
          <w:p>
            <w:pPr>
              <w:pStyle w:val="Compact"/>
            </w:pPr>
            <w:r>
              <w:t xml:space="preserve">Fusion rules that detect gaps requiring Pathfinder</w:t>
            </w:r>
          </w:p>
        </w:tc>
      </w:tr>
    </w:tbl>
    <w:bookmarkEnd w:id="27"/>
    <w:bookmarkStart w:id="28" w:name="critical-path-requirements-4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5"/>
        </w:numPr>
      </w:pPr>
      <w:r>
        <w:t xml:space="preserve">Coverage analysis MUST classify every CI into one of exactly four zones: fully_covered, pathfinder_only, discovery_only, dark</w:t>
      </w:r>
    </w:p>
    <w:p>
      <w:pPr>
        <w:pStyle w:val="Compact"/>
        <w:numPr>
          <w:ilvl w:val="0"/>
          <w:numId w:val="1005"/>
        </w:numPr>
      </w:pPr>
      <w:r>
        <w:t xml:space="preserve">Deployment recommendations MUST be grouped by /24 subnet (extracted from IP address)</w:t>
      </w:r>
    </w:p>
    <w:p>
      <w:pPr>
        <w:pStyle w:val="Compact"/>
        <w:numPr>
          <w:ilvl w:val="0"/>
          <w:numId w:val="1005"/>
        </w:numPr>
      </w:pPr>
      <w:r>
        <w:t xml:space="preserve">Subnets already covered by existing Pathfinder agents MUST be filtered out</w:t>
      </w:r>
    </w:p>
    <w:p>
      <w:pPr>
        <w:pStyle w:val="Compact"/>
        <w:numPr>
          <w:ilvl w:val="0"/>
          <w:numId w:val="1005"/>
        </w:numPr>
      </w:pPr>
      <w:r>
        <w:t xml:space="preserve">Priority MUST be based on CI count: 20+ = high, 5-19 = medium, &lt;5 = low</w:t>
      </w:r>
    </w:p>
    <w:p>
      <w:pPr>
        <w:pStyle w:val="Compact"/>
        <w:numPr>
          <w:ilvl w:val="0"/>
          <w:numId w:val="1005"/>
        </w:numPr>
      </w:pPr>
      <w:r>
        <w:t xml:space="preserve">Each recommendation MUST include: target network, target subnets, CI count, rationale, priority, estimated coverage percentage</w:t>
      </w:r>
    </w:p>
    <w:p>
      <w:pPr>
        <w:pStyle w:val="Compact"/>
        <w:numPr>
          <w:ilvl w:val="0"/>
          <w:numId w:val="1005"/>
        </w:numPr>
      </w:pPr>
      <w:r>
        <w:t xml:space="preserve">The chain MUST flow from assessment findings through coverage analysis to deployment manifests – not skip steps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e9495edff26d0816c94d4bf511a28b785bdfc3"/>
    <w:p>
      <w:pPr>
        <w:pStyle w:val="Heading2"/>
      </w:pPr>
      <w:r>
        <w:t xml:space="preserve">Claim 6: Composite Health Scoring with Behavioral Confidence Fusion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Blending static CMDB assessment with dynamic Pathfinder behavioral data.</w:t>
      </w:r>
    </w:p>
    <w:p>
      <w:pPr>
        <w:pStyle w:val="BodyText"/>
      </w:pPr>
      <w:r>
        <w:rPr>
          <w:b/>
          <w:bCs/>
        </w:rPr>
        <w:t xml:space="preserve">What it protects:</w:t>
      </w:r>
      <w:r>
        <w:t xml:space="preserve"> </w:t>
      </w:r>
      <w:r>
        <w:t xml:space="preserve">The scoring system that combines static CMDB configuration quality assessment with dynamic Pathfinder behavioral confidence data to produce</w:t>
      </w:r>
      <w:r>
        <w:t xml:space="preserve"> </w:t>
      </w:r>
      <w:r>
        <w:t xml:space="preserve">“fusion-only”</w:t>
      </w:r>
      <w:r>
        <w:t xml:space="preserve"> </w:t>
      </w:r>
      <w:r>
        <w:t xml:space="preserve">findings that are detectable only when both data sources are present, along with an adjusted health score that incorporates both signals.</w:t>
      </w:r>
    </w:p>
    <w:bookmarkStart w:id="30" w:name="implementation-chain-5"/>
    <w:p>
      <w:pPr>
        <w:pStyle w:val="Heading3"/>
      </w:pPr>
      <w:r>
        <w:t xml:space="preserve">Implementation Chain</w:t>
      </w:r>
    </w:p>
    <w:p>
      <w:pPr>
        <w:pStyle w:val="SourceCode"/>
      </w:pPr>
      <w:r>
        <w:rPr>
          <w:rStyle w:val="VerbatimChar"/>
        </w:rPr>
        <w:t xml:space="preserve">static CMDB findings (from scan engine)</w:t>
      </w:r>
      <w:r>
        <w:br/>
      </w:r>
      <w:r>
        <w:rPr>
          <w:rStyle w:val="VerbatimChar"/>
        </w:rPr>
        <w:t xml:space="preserve">  + Pathfinder confidence data (from webhook)</w:t>
      </w:r>
      <w:r>
        <w:br/>
      </w:r>
      <w:r>
        <w:rPr>
          <w:rStyle w:val="VerbatimChar"/>
        </w:rPr>
        <w:t xml:space="preserve">    -&gt; computeFusionScore() indexes both data sets</w:t>
      </w:r>
      <w:r>
        <w:br/>
      </w:r>
      <w:r>
        <w:rPr>
          <w:rStyle w:val="VerbatimChar"/>
        </w:rPr>
        <w:t xml:space="preserve">      -&gt; 5 fusion rules evaluate cross-signal patterns</w:t>
      </w:r>
      <w:r>
        <w:br/>
      </w:r>
      <w:r>
        <w:rPr>
          <w:rStyle w:val="VerbatimChar"/>
        </w:rPr>
        <w:t xml:space="preserve">        -&gt; fusion-only findings generated (not detectable by either source alone)</w:t>
      </w:r>
      <w:r>
        <w:br/>
      </w:r>
      <w:r>
        <w:rPr>
          <w:rStyle w:val="VerbatimChar"/>
        </w:rPr>
        <w:t xml:space="preserve">          -&gt; adjusted health score computed (original findings + fusion findings)</w:t>
      </w:r>
      <w:r>
        <w:br/>
      </w:r>
      <w:r>
        <w:rPr>
          <w:rStyle w:val="VerbatimChar"/>
        </w:rPr>
        <w:t xml:space="preserve">            -&gt; coverage summary calculated (CIs with/without Pathfinder data)</w:t>
      </w:r>
    </w:p>
    <w:bookmarkEnd w:id="30"/>
    <w:bookmarkStart w:id="31" w:name="key-files-5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src/server/scoring/pathfinder-fusion.ts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computeFusionScore()</w:t>
            </w:r>
            <w:r>
              <w:t xml:space="preserve">: all 5 fusion rules, enhanced findings, adjusted health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src/server/scoring/composite-scorer.ts</w:t>
            </w:r>
          </w:p>
        </w:tc>
        <w:tc>
          <w:tcPr/>
          <w:p>
            <w:pPr>
              <w:pStyle w:val="Compact"/>
            </w:pPr>
            <w:r>
              <w:t xml:space="preserve">Composite scoring used by fusion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src/server/scoring/health-index.ts</w:t>
            </w:r>
          </w:p>
        </w:tc>
        <w:tc>
          <w:tcPr/>
          <w:p>
            <w:pPr>
              <w:pStyle w:val="Compact"/>
            </w:pPr>
            <w:r>
              <w:t xml:space="preserve">Health score computation applied to combined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src/server/trpc/routers/pathfinder.ts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getFusionFindings</w:t>
            </w:r>
            <w:r>
              <w:t xml:space="preserve"> </w:t>
            </w:r>
            <w:r>
              <w:t xml:space="preserve">query for retrieving stored fusion findings</w:t>
            </w:r>
          </w:p>
        </w:tc>
      </w:tr>
    </w:tbl>
    <w:bookmarkEnd w:id="31"/>
    <w:bookmarkStart w:id="32" w:name="the-5-fusion-rules"/>
    <w:p>
      <w:pPr>
        <w:pStyle w:val="Heading3"/>
      </w:pPr>
      <w:r>
        <w:t xml:space="preserve">The 5 Fusion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Static Signal</w:t>
            </w:r>
          </w:p>
        </w:tc>
        <w:tc>
          <w:tcPr/>
          <w:p>
            <w:pPr>
              <w:pStyle w:val="Compact"/>
            </w:pPr>
            <w:r>
              <w:t xml:space="preserve">Dynamic Signal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cmdb_traffic_mismatch_active_idle</w:t>
            </w:r>
          </w:p>
        </w:tc>
        <w:tc>
          <w:tcPr/>
          <w:p>
            <w:pPr>
              <w:pStyle w:val="Compact"/>
            </w:pPr>
            <w:r>
              <w:t xml:space="preserve">CMDB status = Operational</w:t>
            </w:r>
          </w:p>
        </w:tc>
        <w:tc>
          <w:tcPr/>
          <w:p>
            <w:pPr>
              <w:pStyle w:val="Compact"/>
            </w:pPr>
            <w:r>
              <w:t xml:space="preserve">Pathfinder state = idle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cmdb_traffic_mismatch_retired_active</w:t>
            </w:r>
          </w:p>
        </w:tc>
        <w:tc>
          <w:tcPr/>
          <w:p>
            <w:pPr>
              <w:pStyle w:val="Compact"/>
            </w:pPr>
            <w:r>
              <w:t xml:space="preserve">CMDB status = Retired</w:t>
            </w:r>
          </w:p>
        </w:tc>
        <w:tc>
          <w:tcPr/>
          <w:p>
            <w:pPr>
              <w:pStyle w:val="Compact"/>
            </w:pPr>
            <w:r>
              <w:t xml:space="preserve">Pathfinder state = 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cmdb_class_mismatch</w:t>
            </w:r>
          </w:p>
        </w:tc>
        <w:tc>
          <w:tcPr/>
          <w:p>
            <w:pPr>
              <w:pStyle w:val="Compact"/>
            </w:pPr>
            <w:r>
              <w:t xml:space="preserve">CMDB class</w:t>
            </w:r>
          </w:p>
        </w:tc>
        <w:tc>
          <w:tcPr/>
          <w:p>
            <w:pPr>
              <w:pStyle w:val="Compact"/>
            </w:pPr>
            <w:r>
              <w:t xml:space="preserve">Pathfinder behavioral classification (&gt;75% confidence)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shadow_it_detection</w:t>
            </w:r>
          </w:p>
        </w:tc>
        <w:tc>
          <w:tcPr/>
          <w:p>
            <w:pPr>
              <w:pStyle w:val="Compact"/>
            </w:pPr>
            <w:r>
              <w:t xml:space="preserve">No CMDB record exists</w:t>
            </w:r>
          </w:p>
        </w:tc>
        <w:tc>
          <w:tcPr/>
          <w:p>
            <w:pPr>
              <w:pStyle w:val="Compact"/>
            </w:pPr>
            <w:r>
              <w:t xml:space="preserve">Pathfinder state = active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relationship_unconfirmed</w:t>
            </w:r>
          </w:p>
        </w:tc>
        <w:tc>
          <w:tcPr/>
          <w:p>
            <w:pPr>
              <w:pStyle w:val="Compact"/>
            </w:pPr>
            <w:r>
              <w:t xml:space="preserve">CMDB relationship exists</w:t>
            </w:r>
          </w:p>
        </w:tc>
        <w:tc>
          <w:tcPr/>
          <w:p>
            <w:pPr>
              <w:pStyle w:val="Compact"/>
            </w:pPr>
            <w:r>
              <w:t xml:space="preserve">No traffic observed between CIs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2"/>
    <w:bookmarkStart w:id="33" w:name="critical-path-requirements-5"/>
    <w:p>
      <w:pPr>
        <w:pStyle w:val="Heading3"/>
      </w:pPr>
      <w:r>
        <w:t xml:space="preserve">Critical Path Requirements</w:t>
      </w:r>
    </w:p>
    <w:p>
      <w:pPr>
        <w:pStyle w:val="Compact"/>
        <w:numPr>
          <w:ilvl w:val="0"/>
          <w:numId w:val="1006"/>
        </w:numPr>
      </w:pPr>
      <w:r>
        <w:t xml:space="preserve">Fusion findings MUST only be generated when BOTH Bearing assessment data AND Pathfinder behavioral data exist</w:t>
      </w:r>
    </w:p>
    <w:p>
      <w:pPr>
        <w:pStyle w:val="Compact"/>
        <w:numPr>
          <w:ilvl w:val="0"/>
          <w:numId w:val="1006"/>
        </w:numPr>
      </w:pPr>
      <w:r>
        <w:t xml:space="preserve">Each fusion rule MUST compare a static signal (CMDB) against a dynamic signal (Pathfinder)</w:t>
      </w:r>
    </w:p>
    <w:p>
      <w:pPr>
        <w:pStyle w:val="Compact"/>
        <w:numPr>
          <w:ilvl w:val="0"/>
          <w:numId w:val="1006"/>
        </w:numPr>
      </w:pPr>
      <w:r>
        <w:t xml:space="preserve">The adjusted health score MUST include both original findings and fusion findings</w:t>
      </w:r>
    </w:p>
    <w:p>
      <w:pPr>
        <w:pStyle w:val="Compact"/>
        <w:numPr>
          <w:ilvl w:val="0"/>
          <w:numId w:val="1006"/>
        </w:numPr>
      </w:pPr>
      <w:r>
        <w:t xml:space="preserve">Coverage summary MUST report total CIs, CIs with Pathfinder data, and coverage percentage</w:t>
      </w:r>
    </w:p>
    <w:p>
      <w:pPr>
        <w:pStyle w:val="Compact"/>
        <w:numPr>
          <w:ilvl w:val="0"/>
          <w:numId w:val="1006"/>
        </w:numPr>
      </w:pPr>
      <w:r>
        <w:t xml:space="preserve">The class mismatch rule MUST only fire when Pathfinder classification confidence exceeds 75%</w:t>
      </w:r>
    </w:p>
    <w:p>
      <w:pPr>
        <w:pStyle w:val="Compact"/>
        <w:numPr>
          <w:ilvl w:val="0"/>
          <w:numId w:val="1006"/>
        </w:numPr>
      </w:pPr>
      <w:r>
        <w:t xml:space="preserve">Shadow IT detection MUST only fire for CIs with active traffic state</w:t>
      </w:r>
    </w:p>
    <w:p>
      <w:pPr>
        <w:pStyle w:val="Compact"/>
        <w:numPr>
          <w:ilvl w:val="0"/>
          <w:numId w:val="1006"/>
        </w:numPr>
      </w:pPr>
      <w:r>
        <w:t xml:space="preserve">The system MUST function normally without Pathfinder data (Pathfinder is additive, not required)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e9664f6c2e505e833f124a2f14ec09c96740e5"/>
    <w:p>
      <w:pPr>
        <w:pStyle w:val="Heading2"/>
      </w:pPr>
      <w:r>
        <w:t xml:space="preserve">Implementation Requirements for All Claims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 NOT shortcut the chains.</w:t>
      </w:r>
      <w:r>
        <w:t xml:space="preserve"> </w:t>
      </w:r>
      <w:r>
        <w:t xml:space="preserve">Each claim describes a specific data flow. If you refactor, the chain of custody must be preserved.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Every link in the chain must be implemented.</w:t>
      </w:r>
      <w:r>
        <w:t xml:space="preserve"> </w:t>
      </w:r>
      <w:r>
        <w:t xml:space="preserve">Skipping a step (e.g., generating SOW scope language from hardcoded text instead of from remediation patterns) breaks the claim.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Document any changes to these chains.</w:t>
      </w:r>
      <w:r>
        <w:t xml:space="preserve"> </w:t>
      </w:r>
      <w:r>
        <w:t xml:space="preserve">If a refactoring changes the implementation of a patent claim, update this document and notify the team.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the full chain, not just individual components.</w:t>
      </w:r>
      <w:r>
        <w:t xml:space="preserve"> </w:t>
      </w:r>
      <w:r>
        <w:t xml:space="preserve">Integration tests should verify the end-to-end flow for each claim.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code IS the evidence.</w:t>
      </w:r>
      <w:r>
        <w:t xml:space="preserve"> </w:t>
      </w:r>
      <w:r>
        <w:t xml:space="preserve">If a claim is ever challenged, the codebase must demonstrate the described chain. Keep the implementation clear and traceable.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