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— Engineering Onboarding Guide</w:t>
      </w:r>
    </w:p>
    <w:p/>
    <w:p>
      <w:pPr>
        <w:pStyle w:val="Heading2"/>
      </w:pPr>
      <w:r>
        <w:t>For New Engineers Joining the Pathfinder Team</w:t>
      </w:r>
    </w:p>
    <w:p/>
    <w:p>
      <w:pPr>
        <w:pStyle w:val="Heading3"/>
      </w:pPr>
      <w:r>
        <w:t>Quick Start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git clone https://github.com/blmuffley/Pathfinder.git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Pathfinder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cat CLAUDE.md         # Project overview, conventions, env vars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cat SOLUTION-INDEX.md # Complete file inventory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             # Run all 117 tests</w:t>
      </w:r>
    </w:p>
    <w:p/>
    <w:p>
      <w:pPr>
        <w:pStyle w:val="Heading3"/>
      </w:pPr>
      <w:r>
        <w:t>Architecture in 60 Seconds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Agents (Go, eBPF/ETW) → gRPC → Gateway (Go) → PostgreSQL → Classification Loop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       ↓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ServiceNow Sync → SN Scoped App (6 tables, Polaris workspace)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       ↓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                            Bearing Push → Fusion findings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Intelligence Layer (Python, FastAPI):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 xml:space="preserve">  Shared AI Engine (Claude API) → Integration Intelligence → CMDB Ops Agent → Service Map Intelligence</w:t>
      </w:r>
    </w:p>
    <w:p/>
    <w:p>
      <w:pPr>
        <w:pStyle w:val="Heading3"/>
      </w:pPr>
      <w:r>
        <w:t>Language Map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Go 1.22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Gateway, agents, shared client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`src/gateway/`, `src/agent/`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 (eBPF)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Kernel flow capture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`src/agent/linux/ebpf/`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Python 3.11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Intelligence services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`src/intelligence/`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 scoped app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`src/servicenow/`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Protobuf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gRPC service contract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`src/proto/`</w:t>
            </w:r>
          </w:p>
        </w:tc>
      </w:tr>
    </w:tbl>
    <w:p/>
    <w:p>
      <w:pPr>
        <w:pStyle w:val="Heading3"/>
      </w:pPr>
      <w:r>
        <w:t>Key Files to Read First</w:t>
      </w:r>
    </w:p>
    <w:p/>
    <w:p>
      <w:pPr>
        <w:pStyle w:val="ListNumber"/>
      </w:pPr>
      <w:r>
        <w:rPr>
          <w:sz w:val="18"/>
        </w:rPr>
        <w:t>`CLAUDE.md` — Project conventions and build instructions</w:t>
      </w:r>
    </w:p>
    <w:p>
      <w:pPr>
        <w:pStyle w:val="ListNumber"/>
      </w:pPr>
      <w:r>
        <w:rPr>
          <w:sz w:val="18"/>
        </w:rPr>
        <w:t>`docs/architecture/02-physical-architecture.md` — How all the pieces fit together</w:t>
      </w:r>
    </w:p>
    <w:p>
      <w:pPr>
        <w:pStyle w:val="ListNumber"/>
      </w:pPr>
      <w:r>
        <w:rPr>
          <w:sz w:val="18"/>
        </w:rPr>
        <w:t>`src/proto/pathfinder.proto` — The gRPC contract between agents and gateway</w:t>
      </w:r>
    </w:p>
    <w:p>
      <w:pPr>
        <w:pStyle w:val="ListNumber"/>
      </w:pPr>
      <w:r>
        <w:rPr>
          <w:sz w:val="18"/>
        </w:rPr>
        <w:t>`src/gateway/internal/classify/engine.go` — Classification logic (the brain)</w:t>
      </w:r>
    </w:p>
    <w:p>
      <w:pPr>
        <w:pStyle w:val="ListNumber"/>
      </w:pPr>
      <w:r>
        <w:rPr>
          <w:sz w:val="18"/>
        </w:rPr>
        <w:t>`src/intelligence/cmdb-ops-agent/models/agent_base.py` — The 5-phase agent lifecycle</w:t>
      </w:r>
    </w:p>
    <w:p>
      <w:pPr>
        <w:pStyle w:val="ListNumber"/>
      </w:pPr>
      <w:r>
        <w:rPr>
          <w:sz w:val="18"/>
        </w:rPr>
        <w:t>`docs/reference/architecture-decision-records.md` — Why we made the choices we did</w:t>
      </w:r>
    </w:p>
    <w:p/>
    <w:p>
      <w:pPr>
        <w:pStyle w:val="Heading3"/>
      </w:pPr>
      <w:r>
        <w:t>How to Make Changes</w:t>
      </w:r>
    </w:p>
    <w:p/>
    <w:p>
      <w:r>
        <w:rPr>
          <w:sz w:val="20"/>
        </w:rPr>
      </w:r>
      <w:r>
        <w:rPr>
          <w:b/>
          <w:sz w:val="20"/>
        </w:rPr>
        <w:t>Gateway/Agent changes (Go):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src/gateway &amp;&amp; go test ./... -cover     # Test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src/gateway &amp;&amp; go build ./cmd/          # Build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dev-gateway                            # Run locally</w:t>
      </w:r>
    </w:p>
    <w:p/>
    <w:p>
      <w:r>
        <w:rPr>
          <w:sz w:val="20"/>
        </w:rPr>
      </w:r>
      <w:r>
        <w:rPr>
          <w:b/>
          <w:sz w:val="20"/>
        </w:rPr>
        <w:t>Intelligence changes (Python):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src/intelligence/shared-ai-engine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python3 -m pytest tests/ -v                # Test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python3 main.py                             # Run locally</w:t>
      </w:r>
    </w:p>
    <w:p/>
    <w:p>
      <w:r>
        <w:rPr>
          <w:sz w:val="20"/>
        </w:rPr>
      </w:r>
      <w:r>
        <w:rPr>
          <w:b/>
          <w:sz w:val="20"/>
        </w:rPr>
        <w:t>Proto changes:</w:t>
      </w:r>
      <w:r>
        <w:rPr>
          <w:sz w:val="20"/>
        </w:rPr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src/proto &amp;&amp; make generate              # Regenerate Go code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src/gateway &amp;&amp; go mod tidy              # Update deps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cd src/agent/linux &amp;&amp; go mod tidy</w:t>
      </w:r>
    </w:p>
    <w:p/>
    <w:p>
      <w:pPr>
        <w:pStyle w:val="Heading3"/>
      </w:pPr>
      <w:r>
        <w:t>Testing</w:t>
      </w:r>
    </w:p>
    <w:p/>
    <w:p>
      <w:pPr>
        <w:spacing w:before="0" w:after="0"/>
      </w:pPr>
      <w:r>
        <w:rPr>
          <w:rFonts w:ascii="Consolas" w:hAnsi="Consolas"/>
          <w:color w:val="404040"/>
          <w:sz w:val="16"/>
        </w:rPr>
        <w:t>make test              # All 117 tests (Go + Python)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test-go           # Go only (gateway + agent)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test-python       # Python only (4 intelligence products)</w:t>
      </w:r>
    </w:p>
    <w:p>
      <w:pPr>
        <w:spacing w:before="0" w:after="0"/>
      </w:pPr>
      <w:r>
        <w:rPr>
          <w:rFonts w:ascii="Consolas" w:hAnsi="Consolas"/>
          <w:color w:val="404040"/>
          <w:sz w:val="16"/>
        </w:rPr>
        <w:t>make test-integration  # E2E (requires docker-compose up)</w:t>
      </w:r>
    </w:p>
    <w:p/>
    <w:p>
      <w:pPr>
        <w:pStyle w:val="Heading3"/>
      </w:pPr>
      <w:r>
        <w:t>What Needs Work</w:t>
      </w:r>
    </w:p>
    <w:p/>
    <w:p>
      <w:r>
        <w:rPr>
          <w:sz w:val="20"/>
        </w:rPr>
        <w:t xml:space="preserve">See </w:t>
      </w:r>
      <w:r>
        <w:rPr>
          <w:rFonts w:ascii="Consolas" w:hAnsi="Consolas"/>
          <w:color w:val="606080"/>
          <w:sz w:val="18"/>
        </w:rPr>
        <w:t>docs/guides/build-to-production.md</w:t>
      </w:r>
      <w:r>
        <w:rPr>
          <w:sz w:val="20"/>
        </w:rPr>
        <w:t xml:space="preserve"> for the complete list. Top priorities:</w:t>
      </w:r>
    </w:p>
    <w:p/>
    <w:p>
      <w:pPr>
        <w:pStyle w:val="ListNumber"/>
      </w:pPr>
      <w:r>
        <w:rPr>
          <w:sz w:val="18"/>
        </w:rPr>
        <w:t>Windows ETW agent (scaffold → real implementation)</w:t>
      </w:r>
    </w:p>
    <w:p>
      <w:pPr>
        <w:pStyle w:val="ListNumber"/>
      </w:pPr>
      <w:r>
        <w:rPr>
          <w:sz w:val="18"/>
        </w:rPr>
        <w:t>K8s agent eBPF wiring (mock → real)</w:t>
      </w:r>
    </w:p>
    <w:p>
      <w:pPr>
        <w:pStyle w:val="ListNumber"/>
      </w:pPr>
      <w:r>
        <w:rPr>
          <w:sz w:val="18"/>
        </w:rPr>
        <w:t>SN sync for interfaces + agents (integration-only → full)</w:t>
      </w:r>
    </w:p>
    <w:p>
      <w:pPr>
        <w:pStyle w:val="ListNumber"/>
      </w:pPr>
      <w:r>
        <w:rPr>
          <w:sz w:val="18"/>
        </w:rPr>
        <w:t>Linux agent → shared client migration</w:t>
      </w:r>
    </w:p>
    <w:p>
      <w:pPr>
        <w:pStyle w:val="ListNumber"/>
      </w:pPr>
      <w:r>
        <w:rPr>
          <w:sz w:val="18"/>
        </w:rPr>
        <w:t>Gateway rate limiting</w:t>
      </w:r>
    </w:p>
    <w:p/>
    <w:p>
      <w:pPr>
        <w:pStyle w:val="Heading3"/>
      </w:pPr>
      <w:r>
        <w:t>Coding Conventions</w:t>
      </w:r>
    </w:p>
    <w:p/>
    <w:p>
      <w:r>
        <w:rPr>
          <w:sz w:val="20"/>
        </w:rPr>
      </w:r>
      <w:r>
        <w:rPr>
          <w:b/>
          <w:sz w:val="20"/>
        </w:rPr>
        <w:t>Go:</w:t>
      </w:r>
      <w:r>
        <w:rPr>
          <w:sz w:val="20"/>
        </w:rPr>
        <w:t xml:space="preserve"> Standard project layout. </w:t>
      </w:r>
      <w:r>
        <w:rPr>
          <w:rFonts w:ascii="Consolas" w:hAnsi="Consolas"/>
          <w:color w:val="606080"/>
          <w:sz w:val="18"/>
        </w:rPr>
        <w:t>internal/</w:t>
      </w:r>
      <w:r>
        <w:rPr>
          <w:sz w:val="20"/>
        </w:rPr>
        <w:t xml:space="preserve"> for non-exported. gRPC for agent comms. </w:t>
      </w:r>
      <w:r>
        <w:rPr>
          <w:rFonts w:ascii="Consolas" w:hAnsi="Consolas"/>
          <w:color w:val="606080"/>
          <w:sz w:val="18"/>
        </w:rPr>
        <w:t>go test ./...</w:t>
      </w:r>
      <w:r>
        <w:rPr>
          <w:sz w:val="20"/>
        </w:rPr>
        <w:t xml:space="preserve"> for tests.</w:t>
      </w:r>
    </w:p>
    <w:p>
      <w:r>
        <w:rPr>
          <w:sz w:val="20"/>
        </w:rPr>
      </w:r>
      <w:r>
        <w:rPr>
          <w:b/>
          <w:sz w:val="20"/>
        </w:rPr>
        <w:t>Python:</w:t>
      </w:r>
      <w:r>
        <w:rPr>
          <w:sz w:val="20"/>
        </w:rPr>
        <w:t xml:space="preserve"> Type hints required. Pydantic for models. FastAPI for APIs. </w:t>
      </w:r>
      <w:r>
        <w:rPr>
          <w:rFonts w:ascii="Consolas" w:hAnsi="Consolas"/>
          <w:color w:val="606080"/>
          <w:sz w:val="18"/>
        </w:rPr>
        <w:t>pytest</w:t>
      </w:r>
      <w:r>
        <w:rPr>
          <w:sz w:val="20"/>
        </w:rPr>
        <w:t xml:space="preserve"> for tests.</w:t>
      </w:r>
    </w:p>
    <w:p>
      <w:r>
        <w:rPr>
          <w:sz w:val="20"/>
        </w:rPr>
      </w:r>
      <w:r>
        <w:rPr>
          <w:b/>
          <w:sz w:val="20"/>
        </w:rPr>
        <w:t>ServiceNow:</w:t>
      </w:r>
      <w:r>
        <w:rPr>
          <w:sz w:val="20"/>
        </w:rPr>
        <w:t xml:space="preserve"> Scope prefix </w:t>
      </w:r>
      <w:r>
        <w:rPr>
          <w:rFonts w:ascii="Consolas" w:hAnsi="Consolas"/>
          <w:color w:val="606080"/>
          <w:sz w:val="18"/>
        </w:rPr>
        <w:t>x_avnth_</w:t>
      </w:r>
      <w:r>
        <w:rPr>
          <w:sz w:val="20"/>
        </w:rPr>
        <w:t xml:space="preserve">. Business rules use </w:t>
      </w:r>
      <w:r>
        <w:rPr>
          <w:rFonts w:ascii="Consolas" w:hAnsi="Consolas"/>
          <w:color w:val="606080"/>
          <w:sz w:val="18"/>
        </w:rPr>
        <w:t>current</w:t>
      </w:r>
      <w:r>
        <w:rPr>
          <w:sz w:val="20"/>
        </w:rPr>
        <w:t>/</w:t>
      </w:r>
      <w:r>
        <w:rPr>
          <w:rFonts w:ascii="Consolas" w:hAnsi="Consolas"/>
          <w:color w:val="606080"/>
          <w:sz w:val="18"/>
        </w:rPr>
        <w:t>previous</w:t>
      </w:r>
      <w:r>
        <w:rPr>
          <w:sz w:val="20"/>
        </w:rPr>
        <w:t xml:space="preserve">. REST versioned under </w:t>
      </w:r>
      <w:r>
        <w:rPr>
          <w:rFonts w:ascii="Consolas" w:hAnsi="Consolas"/>
          <w:color w:val="606080"/>
          <w:sz w:val="18"/>
        </w:rPr>
        <w:t>/v1/</w:t>
      </w:r>
      <w:r>
        <w:rPr>
          <w:sz w:val="20"/>
        </w:rPr>
        <w:t>.</w:t>
      </w:r>
    </w:p>
    <w:p/>
    <w:p>
      <w:pPr>
        <w:pStyle w:val="Heading3"/>
      </w:pPr>
      <w:r>
        <w:t>Environment Variables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`PF_DB_URL`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 connection string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`PF_SN_INSTANCE`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ServiceNow instance URL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`PF_SN_CLIENT_ID` / `_SECRET`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SN OAuth 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`PF_GATEWAY_ADDRESS`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host:port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`PF_ENROLLMENT_TOKEN`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JWT enrollment token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`ANTHROPIC_API_KEY`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Claude API key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`BEARING_WEBHOOK_URL`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Bearing webhook (optional)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`BEARING_API_KEY`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Bearing auth key (optional)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