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Demo Script</w:t>
      </w:r>
    </w:p>
    <w:p/>
    <w:p>
      <w:pPr>
        <w:pStyle w:val="Heading2"/>
      </w:pPr>
      <w:r>
        <w:t>Setup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cd docs/prototypes/workspace-app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npm run dev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Opens on http://localhost:4200</w:t>
      </w:r>
    </w:p>
    <w:p/>
    <w:p>
      <w:r>
        <w:rPr>
          <w:sz w:val="20"/>
        </w:rPr>
      </w:r>
      <w:r>
        <w:rPr>
          <w:b/>
          <w:sz w:val="20"/>
        </w:rPr>
        <w:t>URL: http://localhost:4200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Duration: 12-15 minutes</w:t>
      </w:r>
      <w:r>
        <w:rPr>
          <w:sz w:val="20"/>
        </w:rPr>
      </w:r>
    </w:p>
    <w:p/>
    <w:p>
      <w:pPr>
        <w:pStyle w:val="Heading3"/>
      </w:pPr>
      <w:r>
        <w:t>Port Assignments (No Conflicts with Other Avennorth Products)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Workspace Prototype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**4200**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This demo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(gRPC)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Production agent traffic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Shared 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Claude API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8081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Health scoring, EA recon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8082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autonomous agents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8083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Coverage, risk, impact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data store</w:t>
            </w:r>
          </w:p>
        </w:tc>
      </w:tr>
    </w:tbl>
    <w:p/>
    <w:p>
      <w:r>
        <w:rPr>
          <w:sz w:val="20"/>
        </w:rPr>
        <w:t>*Avennorth Compass and other products typically use ports 3000-3100 and 5173. Pathfinder uses 4200 (prototype), 8080-8083 (intelligence), and 8443 (gateway) to avoid conflicts.*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Demo Script</w:t>
      </w:r>
    </w:p>
    <w:p/>
    <w:p>
      <w:pPr>
        <w:pStyle w:val="Heading3"/>
      </w:pPr>
      <w:r>
        <w:t>Opening (1 minute)</w:t>
      </w:r>
    </w:p>
    <w:p/>
    <w:p>
      <w:r>
        <w:rPr>
          <w:sz w:val="20"/>
        </w:rPr>
        <w:t>&gt; "This is Avennorth Pathfinder — our CMDB-first integration discovery and intelligence platform built for ServiceNow. What you're seeing is the Polaris workspace that integration analysts use every day. Let me walk you through what it does."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Act 1: The Overview (2 minutes)</w:t>
      </w:r>
    </w:p>
    <w:p/>
    <w:p>
      <w:r>
        <w:rPr>
          <w:sz w:val="20"/>
        </w:rPr>
      </w:r>
      <w:r>
        <w:rPr>
          <w:b/>
          <w:sz w:val="20"/>
        </w:rPr>
        <w:t>Page: Overview</w:t>
      </w:r>
      <w:r>
        <w:rPr>
          <w:sz w:val="20"/>
        </w:rPr>
        <w:t xml:space="preserve"> *(landing page)*</w:t>
      </w:r>
    </w:p>
    <w:p/>
    <w:p>
      <w:r>
        <w:rPr>
          <w:sz w:val="20"/>
        </w:rPr>
        <w:t>&gt; "The overview gives you the full picture at a glance."</w:t>
      </w:r>
    </w:p>
    <w:p/>
    <w:p>
      <w:r>
        <w:rPr>
          <w:sz w:val="20"/>
        </w:rPr>
      </w:r>
      <w:r>
        <w:rPr>
          <w:b/>
          <w:sz w:val="20"/>
        </w:rPr>
        <w:t>Point out: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KPI tiles</w:t>
      </w:r>
      <w:r>
        <w:rPr>
          <w:sz w:val="18"/>
        </w:rPr>
        <w:t xml:space="preserve"> at top — "14 integrations discovered, 9 healthy, 3 degraded, 1 critical. 12 active agents across our fleet. 6 open coverage gaps that need remediation."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Health distribution donut</w:t>
      </w:r>
      <w:r>
        <w:rPr>
          <w:sz w:val="18"/>
        </w:rPr>
        <w:t xml:space="preserve"> — "Most of our estate is green, but we have that one critical integration and three degraded ones that need attention."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Integration types donut</w:t>
      </w:r>
      <w:r>
        <w:rPr>
          <w:sz w:val="18"/>
        </w:rPr>
        <w:t xml:space="preserve"> — "Pathfinder auto-classifies every integration — API, Database, Messaging, Email — based on port and process analysis. No manual tagging."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Health trend sparkline</w:t>
      </w:r>
      <w:r>
        <w:rPr>
          <w:sz w:val="18"/>
        </w:rPr>
        <w:t xml:space="preserve"> — "The 30-day trend shows us availability has been stable until this week — see that dip? We'll come back to that."</w:t>
      </w:r>
    </w:p>
    <w:p/>
    <w:p>
      <w:r>
        <w:rPr>
          <w:sz w:val="20"/>
        </w:rPr>
      </w:r>
      <w:r>
        <w:rPr>
          <w:b/>
          <w:sz w:val="20"/>
        </w:rPr>
        <w:t>Click</w:t>
      </w:r>
      <w:r>
        <w:rPr>
          <w:sz w:val="20"/>
        </w:rPr>
        <w:t xml:space="preserve"> the "Critical" KPI tile (red, value "1") — this navigates to the Integrations page.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Act 2: Integration Discovery &amp; AI Intelligence (4 minutes)</w:t>
      </w:r>
    </w:p>
    <w:p/>
    <w:p>
      <w:r>
        <w:rPr>
          <w:sz w:val="20"/>
        </w:rPr>
      </w:r>
      <w:r>
        <w:rPr>
          <w:b/>
          <w:sz w:val="20"/>
        </w:rPr>
        <w:t>Page: Integrations</w:t>
      </w:r>
      <w:r>
        <w:rPr>
          <w:sz w:val="20"/>
        </w:rPr>
      </w:r>
    </w:p>
    <w:p/>
    <w:p>
      <w:r>
        <w:rPr>
          <w:sz w:val="20"/>
        </w:rPr>
        <w:t>&gt; "This is where the power is. Every row is a discovered integration — automatically found by eBPF agents watching kernel-level network traffic. No code changes, no config files."</w:t>
      </w:r>
    </w:p>
    <w:p/>
    <w:p>
      <w:r>
        <w:rPr>
          <w:sz w:val="20"/>
        </w:rPr>
      </w:r>
      <w:r>
        <w:rPr>
          <w:b/>
          <w:sz w:val="20"/>
        </w:rPr>
        <w:t>Demo the filters:</w:t>
      </w:r>
      <w:r>
        <w:rPr>
          <w:sz w:val="20"/>
        </w:rPr>
      </w:r>
    </w:p>
    <w:p>
      <w:pPr>
        <w:pStyle w:val="ListNumber"/>
      </w:pPr>
      <w:r>
        <w:rPr>
          <w:sz w:val="18"/>
        </w:rPr>
        <w:t>**Click "Critical"** filter button — shows only the critical integration (Notification Service → SendGrid)</w:t>
      </w:r>
    </w:p>
    <w:p>
      <w:pPr>
        <w:pStyle w:val="ListNumber"/>
      </w:pPr>
      <w:r>
        <w:rPr>
          <w:sz w:val="18"/>
        </w:rPr>
        <w:t>**Click "All"** to reset</w:t>
      </w:r>
    </w:p>
    <w:p>
      <w:pPr>
        <w:pStyle w:val="ListNumber"/>
      </w:pPr>
      <w:r>
        <w:rPr>
          <w:sz w:val="18"/>
        </w:rPr>
        <w:t>**Type "kafka"** in the search box — shows only the Kafka integration</w:t>
      </w:r>
    </w:p>
    <w:p>
      <w:pPr>
        <w:pStyle w:val="ListNumber"/>
      </w:pPr>
      <w:r>
        <w:rPr>
          <w:sz w:val="18"/>
        </w:rPr>
        <w:t>**Clear search**, **click "Database"** type filter — shows the 3 database integrations</w:t>
      </w:r>
    </w:p>
    <w:p/>
    <w:p>
      <w:r>
        <w:rPr>
          <w:sz w:val="20"/>
        </w:rPr>
        <w:t>&gt; "Analysts can slice and dice instantly. Now let me show you the detail view."</w:t>
      </w:r>
    </w:p>
    <w:p/>
    <w:p>
      <w:r>
        <w:rPr>
          <w:sz w:val="20"/>
        </w:rPr>
      </w:r>
      <w:r>
        <w:rPr>
          <w:b/>
          <w:sz w:val="20"/>
        </w:rPr>
        <w:t>Click</w:t>
      </w:r>
      <w:r>
        <w:rPr>
          <w:sz w:val="20"/>
        </w:rPr>
        <w:t xml:space="preserve"> the </w:t>
      </w:r>
      <w:r>
        <w:rPr>
          <w:b/>
          <w:sz w:val="20"/>
        </w:rPr>
        <w:t>"Notification Svc → Email Gateway"</w:t>
      </w:r>
      <w:r>
        <w:rPr>
          <w:sz w:val="20"/>
        </w:rPr>
        <w:t xml:space="preserve"> row (Critical, score 34)</w:t>
      </w:r>
    </w:p>
    <w:p/>
    <w:p>
      <w:r>
        <w:rPr>
          <w:sz w:val="20"/>
        </w:rPr>
        <w:t>&gt; "This is the integration that's in trouble. Look at the split view — list on the left, detail on the right."</w:t>
      </w:r>
    </w:p>
    <w:p/>
    <w:p>
      <w:r>
        <w:rPr>
          <w:sz w:val="20"/>
        </w:rPr>
      </w:r>
      <w:r>
        <w:rPr>
          <w:b/>
          <w:sz w:val="20"/>
        </w:rPr>
        <w:t>Overview tab</w:t>
      </w:r>
      <w:r>
        <w:rPr>
          <w:sz w:val="20"/>
        </w:rPr>
        <w:t xml:space="preserve"> (default):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Point to the AI Summary</w:t>
      </w:r>
      <w:r>
        <w:rPr>
          <w:sz w:val="18"/>
        </w:rPr>
        <w:t xml:space="preserve"> (red-bordered card) — Read it aloud:</w:t>
      </w:r>
    </w:p>
    <w:p>
      <w:r>
        <w:rPr>
          <w:sz w:val="20"/>
        </w:rPr>
        <w:t>&gt; "The AI is telling us: 4.8% error rate, availability dropped to 96.2%, we're likely hitting SendGrid rate limits. It's even recommending the fix — review sending volume and implement backoff. This was generated by Claude, not a human."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Point to Classification</w:t>
      </w:r>
      <w:r>
        <w:rPr>
          <w:sz w:val="18"/>
        </w:rPr>
        <w:t xml:space="preserve"> — "Source, target, type, confidence 91% — all auto-discovered."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Point to Governance</w:t>
      </w:r>
      <w:r>
        <w:rPr>
          <w:sz w:val="18"/>
        </w:rPr>
        <w:t xml:space="preserve"> — "Criticality is High, owner is assigned, but notice data classification is 'Internal'. For an email gateway handling customer data, that might need review."</w:t>
      </w:r>
    </w:p>
    <w:p/>
    <w:p>
      <w:r>
        <w:rPr>
          <w:sz w:val="20"/>
        </w:rPr>
      </w:r>
      <w:r>
        <w:rPr>
          <w:b/>
          <w:sz w:val="20"/>
        </w:rPr>
        <w:t>Click "Interfaces" tab:</w:t>
      </w:r>
      <w:r>
        <w:rPr>
          <w:sz w:val="20"/>
        </w:rPr>
      </w:r>
    </w:p>
    <w:p>
      <w:r>
        <w:rPr>
          <w:sz w:val="20"/>
        </w:rPr>
        <w:t>&gt; "Two interfaces — port 25 and port 587, both SMTP. Look at the error rates: 4.8% and 3.2%. The P99 latency is 2.4 seconds on port 25. This confirms the AI's diagnosis."</w:t>
      </w:r>
    </w:p>
    <w:p/>
    <w:p>
      <w:r>
        <w:rPr>
          <w:sz w:val="20"/>
        </w:rPr>
      </w:r>
      <w:r>
        <w:rPr>
          <w:b/>
          <w:sz w:val="20"/>
        </w:rPr>
        <w:t>Click "Health" tab:</w:t>
      </w:r>
      <w:r>
        <w:rPr>
          <w:sz w:val="20"/>
        </w:rPr>
      </w:r>
    </w:p>
    <w:p>
      <w:r>
        <w:rPr>
          <w:sz w:val="20"/>
        </w:rPr>
        <w:t>&gt; "The 30-day trend chart. See the spike in error rate in the last few days? And latency climbing? The AI saw this pattern and flagged it before anyone filed a ticket."</w:t>
      </w:r>
    </w:p>
    <w:p/>
    <w:p>
      <w:r>
        <w:rPr>
          <w:sz w:val="20"/>
        </w:rPr>
      </w:r>
      <w:r>
        <w:rPr>
          <w:b/>
          <w:sz w:val="20"/>
        </w:rPr>
        <w:t>Click "AI Summary Refresh" button</w:t>
      </w:r>
      <w:r>
        <w:rPr>
          <w:sz w:val="20"/>
        </w:rPr>
        <w:t xml:space="preserve"> on Overview tab:</w:t>
      </w:r>
    </w:p>
    <w:p>
      <w:r>
        <w:rPr>
          <w:sz w:val="20"/>
        </w:rPr>
        <w:t>&gt; "Watch — I can refresh the AI analysis on demand."</w:t>
      </w:r>
    </w:p>
    <w:p>
      <w:r>
        <w:rPr>
          <w:sz w:val="20"/>
        </w:rPr>
        <w:t>*(Toast appears: "AI summary refreshed successfully")*</w:t>
      </w:r>
    </w:p>
    <w:p/>
    <w:p>
      <w:r>
        <w:rPr>
          <w:sz w:val="20"/>
        </w:rPr>
      </w:r>
      <w:r>
        <w:rPr>
          <w:b/>
          <w:sz w:val="20"/>
        </w:rPr>
        <w:t>Click</w:t>
      </w:r>
      <w:r>
        <w:rPr>
          <w:sz w:val="20"/>
        </w:rPr>
        <w:t xml:space="preserve"> the </w:t>
      </w:r>
      <w:r>
        <w:rPr>
          <w:b/>
          <w:sz w:val="20"/>
        </w:rPr>
        <w:t>"Event Bus → Kafka Cluster"</w:t>
      </w:r>
      <w:r>
        <w:rPr>
          <w:sz w:val="20"/>
        </w:rPr>
        <w:t xml:space="preserve"> row (Healthy, score 96):</w:t>
      </w:r>
    </w:p>
    <w:p>
      <w:r>
        <w:rPr>
          <w:sz w:val="20"/>
        </w:rPr>
        <w:t>&gt; "Compare that to a healthy integration. Score 96, 890,000 flows — this is the backbone event bus. The AI summary says zero message loss in 90 days across 12 partitions. That's confidence."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Act 3: Agent Fleet (2 minutes)</w:t>
      </w:r>
    </w:p>
    <w:p/>
    <w:p>
      <w:r>
        <w:rPr>
          <w:sz w:val="20"/>
        </w:rPr>
      </w:r>
      <w:r>
        <w:rPr>
          <w:b/>
          <w:sz w:val="20"/>
        </w:rPr>
        <w:t>Click "Agent Fleet"</w:t>
      </w:r>
      <w:r>
        <w:rPr>
          <w:sz w:val="20"/>
        </w:rPr>
        <w:t xml:space="preserve"> in sidebar</w:t>
      </w:r>
    </w:p>
    <w:p/>
    <w:p>
      <w:r>
        <w:rPr>
          <w:sz w:val="20"/>
        </w:rPr>
        <w:t>&gt; "Every server running a Pathfinder agent shows up here. 12 active, 2 stale."</w:t>
      </w:r>
    </w:p>
    <w:p/>
    <w:p>
      <w:r>
        <w:rPr>
          <w:sz w:val="20"/>
        </w:rPr>
      </w:r>
      <w:r>
        <w:rPr>
          <w:b/>
          <w:sz w:val="20"/>
        </w:rPr>
        <w:t>Point out: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OS distribution</w:t>
      </w:r>
      <w:r>
        <w:rPr>
          <w:sz w:val="18"/>
        </w:rPr>
        <w:t xml:space="preserve"> — "Linux, Windows, and Kubernetes nodes. One agent binary, three deployment models."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Monospace agent IDs</w:t>
      </w:r>
      <w:r>
        <w:rPr>
          <w:sz w:val="18"/>
        </w:rPr>
        <w:t xml:space="preserve"> — "Each agent gets a UUID on enrollment. Persists across restarts."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Stale agents</w:t>
      </w:r>
      <w:r>
        <w:rPr>
          <w:sz w:val="18"/>
        </w:rPr>
        <w:t xml:space="preserve"> (amber rows) — "staging-web-01 hasn't sent a heartbeat in 3 days. dev-app-01, 5 days. These automatically trigger coverage gap records."</w:t>
      </w:r>
    </w:p>
    <w:p/>
    <w:p>
      <w:r>
        <w:rPr>
          <w:sz w:val="20"/>
        </w:rPr>
      </w:r>
      <w:r>
        <w:rPr>
          <w:b/>
          <w:sz w:val="20"/>
        </w:rPr>
        <w:t>Search</w:t>
      </w:r>
      <w:r>
        <w:rPr>
          <w:sz w:val="20"/>
        </w:rPr>
        <w:t xml:space="preserve"> for "k8s" — shows the two Kubernetes nodes</w:t>
      </w:r>
    </w:p>
    <w:p/>
    <w:p>
      <w:r>
        <w:rPr>
          <w:sz w:val="20"/>
        </w:rPr>
      </w:r>
      <w:r>
        <w:rPr>
          <w:b/>
          <w:sz w:val="20"/>
        </w:rPr>
        <w:t>Click the decommission button</w:t>
      </w:r>
      <w:r>
        <w:rPr>
          <w:sz w:val="20"/>
        </w:rPr>
        <w:t xml:space="preserve"> (power icon) on staging-web-01:</w:t>
      </w:r>
    </w:p>
    <w:p>
      <w:r>
        <w:rPr>
          <w:sz w:val="20"/>
        </w:rPr>
        <w:t>&gt; "If we know a server is being retired, we can decommission the agent right from here."</w:t>
      </w:r>
    </w:p>
    <w:p>
      <w:r>
        <w:rPr>
          <w:sz w:val="20"/>
        </w:rPr>
        <w:t>*(Confirmation dialog appears)*</w:t>
      </w:r>
    </w:p>
    <w:p>
      <w:r>
        <w:rPr>
          <w:sz w:val="20"/>
        </w:rPr>
        <w:t>&gt; "It warns us that a coverage gap may be created. This connects to the self-healing loop."</w:t>
      </w:r>
    </w:p>
    <w:p>
      <w:r>
        <w:rPr>
          <w:sz w:val="20"/>
        </w:rPr>
      </w:r>
      <w:r>
        <w:rPr>
          <w:b/>
          <w:sz w:val="20"/>
        </w:rPr>
        <w:t>Click Cancel</w:t>
      </w:r>
      <w:r>
        <w:rPr>
          <w:sz w:val="20"/>
        </w:rPr>
        <w:t xml:space="preserve"> (don't actually decommission in the demo)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Act 4: Coverage Gaps &amp; Self-Healing (2 minutes)</w:t>
      </w:r>
    </w:p>
    <w:p/>
    <w:p>
      <w:r>
        <w:rPr>
          <w:sz w:val="20"/>
        </w:rPr>
      </w:r>
      <w:r>
        <w:rPr>
          <w:b/>
          <w:sz w:val="20"/>
        </w:rPr>
        <w:t>Click "Coverage Gaps"</w:t>
      </w:r>
      <w:r>
        <w:rPr>
          <w:sz w:val="20"/>
        </w:rPr>
        <w:t xml:space="preserve"> in sidebar</w:t>
      </w:r>
    </w:p>
    <w:p/>
    <w:p>
      <w:r>
        <w:rPr>
          <w:sz w:val="20"/>
        </w:rPr>
        <w:t>&gt; "This is the Kanban board for coverage gap remediation. Think of it as the ops team's triage view."</w:t>
      </w:r>
    </w:p>
    <w:p/>
    <w:p>
      <w:r>
        <w:rPr>
          <w:sz w:val="20"/>
        </w:rPr>
      </w:r>
      <w:r>
        <w:rPr>
          <w:b/>
          <w:sz w:val="20"/>
        </w:rPr>
        <w:t>Walk through the lanes: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Open</w:t>
      </w:r>
      <w:r>
        <w:rPr>
          <w:sz w:val="18"/>
        </w:rPr>
        <w:t xml:space="preserve"> (6 items) — "These servers need agents. Prioritized: Critical and High at the top."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In Progress</w:t>
      </w:r>
      <w:r>
        <w:rPr>
          <w:sz w:val="18"/>
        </w:rPr>
        <w:t xml:space="preserve"> (2 items) — "Change requests have been created. Agents are being deployed."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Resolved</w:t>
      </w:r>
      <w:r>
        <w:rPr>
          <w:sz w:val="18"/>
        </w:rPr>
        <w:t xml:space="preserve"> (2 items) — "Self-healing worked. Agents deployed, verified, gap closed."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Waived</w:t>
      </w:r>
      <w:r>
        <w:rPr>
          <w:sz w:val="18"/>
        </w:rPr>
        <w:t xml:space="preserve"> (2 items) — "Dev test servers — we decided they don't need coverage."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Failed</w:t>
      </w:r>
      <w:r>
        <w:rPr>
          <w:sz w:val="18"/>
        </w:rPr>
        <w:t xml:space="preserve"> (1 item) — "prod-mq-02 failed to deploy. The flow creates a notification for manual intervention."</w:t>
      </w:r>
    </w:p>
    <w:p/>
    <w:p>
      <w:r>
        <w:rPr>
          <w:sz w:val="20"/>
        </w:rPr>
      </w:r>
      <w:r>
        <w:rPr>
          <w:b/>
          <w:sz w:val="20"/>
        </w:rPr>
        <w:t>Click "Create CR"</w:t>
      </w:r>
      <w:r>
        <w:rPr>
          <w:sz w:val="20"/>
        </w:rPr>
        <w:t xml:space="preserve"> on the Critical gap (prod-mail-01):</w:t>
      </w:r>
    </w:p>
    <w:p>
      <w:r>
        <w:rPr>
          <w:sz w:val="20"/>
        </w:rPr>
        <w:t>&gt; "One click to create a ServiceNow change request. In production, this triggers the Flow Designer self-healing loop — it checks prerequisites, creates a standard or normal CR, deploys the agent, verifies enrollment, and closes the gap automatically."</w:t>
      </w:r>
    </w:p>
    <w:p>
      <w:r>
        <w:rPr>
          <w:sz w:val="20"/>
        </w:rPr>
        <w:t>*(Toast: "Change request created for prod-mail-01")*</w:t>
      </w:r>
    </w:p>
    <w:p/>
    <w:p>
      <w:r>
        <w:rPr>
          <w:sz w:val="20"/>
        </w:rPr>
      </w:r>
      <w:r>
        <w:rPr>
          <w:b/>
          <w:sz w:val="20"/>
        </w:rPr>
        <w:t>Click "Waive"</w:t>
      </w:r>
      <w:r>
        <w:rPr>
          <w:sz w:val="20"/>
        </w:rPr>
        <w:t xml:space="preserve"> on the Low priority gap (staging-db-01):</w:t>
      </w:r>
    </w:p>
    <w:p>
      <w:r>
        <w:rPr>
          <w:sz w:val="20"/>
        </w:rPr>
        <w:t>*(Dialog appears with textarea)*</w:t>
      </w:r>
    </w:p>
    <w:p>
      <w:r>
        <w:rPr>
          <w:sz w:val="20"/>
        </w:rPr>
        <w:t>&gt; "For servers that don't need coverage, analysts can waive with a documented reason. This feeds into compliance reporting."</w:t>
      </w:r>
    </w:p>
    <w:p>
      <w:r>
        <w:rPr>
          <w:sz w:val="20"/>
        </w:rPr>
      </w:r>
      <w:r>
        <w:rPr>
          <w:b/>
          <w:sz w:val="20"/>
        </w:rPr>
        <w:t>Type</w:t>
      </w:r>
      <w:r>
        <w:rPr>
          <w:sz w:val="20"/>
        </w:rPr>
        <w:t xml:space="preserve"> "Staging database — scheduled for decommission next sprint"</w:t>
      </w:r>
    </w:p>
    <w:p>
      <w:r>
        <w:rPr>
          <w:sz w:val="20"/>
        </w:rPr>
      </w:r>
      <w:r>
        <w:rPr>
          <w:b/>
          <w:sz w:val="20"/>
        </w:rPr>
        <w:t>Click Waive</w:t>
      </w:r>
      <w:r>
        <w:rPr>
          <w:sz w:val="20"/>
        </w:rPr>
      </w:r>
    </w:p>
    <w:p>
      <w:r>
        <w:rPr>
          <w:sz w:val="20"/>
        </w:rPr>
        <w:t>*(Toast: "Gap waived for staging-db-01")*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Act 5: EA Reconciliation (2 minutes)</w:t>
      </w:r>
    </w:p>
    <w:p/>
    <w:p>
      <w:r>
        <w:rPr>
          <w:sz w:val="20"/>
        </w:rPr>
      </w:r>
      <w:r>
        <w:rPr>
          <w:b/>
          <w:sz w:val="20"/>
        </w:rPr>
        <w:t>Click "EA Reconciliation"</w:t>
      </w:r>
      <w:r>
        <w:rPr>
          <w:sz w:val="20"/>
        </w:rPr>
        <w:t xml:space="preserve"> in sidebar</w:t>
      </w:r>
    </w:p>
    <w:p/>
    <w:p>
      <w:r>
        <w:rPr>
          <w:sz w:val="20"/>
        </w:rPr>
        <w:t>&gt; "This is where we bridge the gap between what Pathfinder discovers and what Enterprise Architecture has documented."</w:t>
      </w:r>
    </w:p>
    <w:p/>
    <w:p>
      <w:r>
        <w:rPr>
          <w:sz w:val="20"/>
        </w:rPr>
      </w:r>
      <w:r>
        <w:rPr>
          <w:b/>
          <w:sz w:val="20"/>
        </w:rPr>
        <w:t>Point to KPIs:</w:t>
      </w:r>
      <w:r>
        <w:rPr>
          <w:sz w:val="20"/>
        </w:rPr>
      </w:r>
    </w:p>
    <w:p>
      <w:r>
        <w:rPr>
          <w:sz w:val="20"/>
        </w:rPr>
        <w:t>&gt; "5 unmapped integrations, 5 mapped, 1 suggested, 1 disputed. The progress bar shows we're 36% reconciled."</w:t>
      </w:r>
    </w:p>
    <w:p/>
    <w:p>
      <w:r>
        <w:rPr>
          <w:sz w:val="20"/>
        </w:rPr>
      </w:r>
      <w:r>
        <w:rPr>
          <w:b/>
          <w:sz w:val="20"/>
        </w:rPr>
        <w:t>Click</w:t>
      </w:r>
      <w:r>
        <w:rPr>
          <w:sz w:val="20"/>
        </w:rPr>
        <w:t xml:space="preserve"> "Auth Service → LDAP Directory" on the left panel:</w:t>
      </w:r>
    </w:p>
    <w:p>
      <w:r>
        <w:rPr>
          <w:sz w:val="20"/>
        </w:rPr>
        <w:t>&gt; "The AI found two potential EA matches. The first one — 85% confidence — is a fuzzy name match: 'auth service' matches 'authentication service' with edit distance 1. The second — 52% — is a group match because both CIs belong to the Identity &amp; Access Management business service."</w:t>
      </w:r>
    </w:p>
    <w:p/>
    <w:p>
      <w:r>
        <w:rPr>
          <w:sz w:val="20"/>
        </w:rPr>
      </w:r>
      <w:r>
        <w:rPr>
          <w:b/>
          <w:sz w:val="20"/>
        </w:rPr>
        <w:t>Click "Confirm"</w:t>
      </w:r>
      <w:r>
        <w:rPr>
          <w:sz w:val="20"/>
        </w:rPr>
        <w:t xml:space="preserve"> on the 85% match:</w:t>
      </w:r>
    </w:p>
    <w:p>
      <w:r>
        <w:rPr>
          <w:sz w:val="20"/>
        </w:rPr>
        <w:t>*(Toast: "EA mapping confirmed")*</w:t>
      </w:r>
    </w:p>
    <w:p>
      <w:r>
        <w:rPr>
          <w:sz w:val="20"/>
        </w:rPr>
        <w:t>&gt; "One click. In ServiceNow, this updates the Integration CI's EA status to 'Mapped' and links it to the EA relationship record. The analyst just closed a reconciliation gap in 5 seconds that would have taken a spreadsheet exercise."</w:t>
      </w:r>
    </w:p>
    <w:p/>
    <w:p>
      <w:r>
        <w:rPr>
          <w:sz w:val="20"/>
        </w:rPr>
      </w:r>
      <w:r>
        <w:rPr>
          <w:b/>
          <w:sz w:val="20"/>
        </w:rPr>
        <w:t>Click</w:t>
      </w:r>
      <w:r>
        <w:rPr>
          <w:sz w:val="20"/>
        </w:rPr>
        <w:t xml:space="preserve"> "CRM → Salesforce Sync" (Disputed):</w:t>
      </w:r>
    </w:p>
    <w:p>
      <w:r>
        <w:rPr>
          <w:sz w:val="20"/>
        </w:rPr>
        <w:t>&gt; "This one is disputed — the EA record was deleted but the integration still exists. The AI found two candidates at 92% and 71% confidence."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Act 6: Health Dashboard (2 minutes)</w:t>
      </w:r>
    </w:p>
    <w:p/>
    <w:p>
      <w:r>
        <w:rPr>
          <w:sz w:val="20"/>
        </w:rPr>
      </w:r>
      <w:r>
        <w:rPr>
          <w:b/>
          <w:sz w:val="20"/>
        </w:rPr>
        <w:t>Click "Health Dashboard"</w:t>
      </w:r>
      <w:r>
        <w:rPr>
          <w:sz w:val="20"/>
        </w:rPr>
        <w:t xml:space="preserve"> in sidebar</w:t>
      </w:r>
    </w:p>
    <w:p/>
    <w:p>
      <w:r>
        <w:rPr>
          <w:sz w:val="20"/>
        </w:rPr>
        <w:t>&gt; "The executive view. Everything we've seen at the individual integration level, aggregated."</w:t>
      </w:r>
    </w:p>
    <w:p/>
    <w:p>
      <w:r>
        <w:rPr>
          <w:sz w:val="20"/>
        </w:rPr>
      </w:r>
      <w:r>
        <w:rPr>
          <w:b/>
          <w:sz w:val="20"/>
        </w:rPr>
        <w:t>Toggle time ranges: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Click "7d"</w:t>
      </w:r>
      <w:r>
        <w:rPr>
          <w:sz w:val="18"/>
        </w:rPr>
        <w:t xml:space="preserve"> — shows last 7 days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Click "30d"</w:t>
      </w:r>
      <w:r>
        <w:rPr>
          <w:sz w:val="18"/>
        </w:rPr>
        <w:t xml:space="preserve"> — shows full 30-day trend with the anomaly spike visible</w:t>
      </w:r>
    </w:p>
    <w:p/>
    <w:p>
      <w:r>
        <w:rPr>
          <w:sz w:val="20"/>
        </w:rPr>
        <w:t>&gt; "See the error rate spike in the last few days? That's our SendGrid integration dragging the aggregate. And latency climbing — that's the Elasticsearch cluster we saw was degraded."</w:t>
      </w:r>
    </w:p>
    <w:p/>
    <w:p>
      <w:r>
        <w:rPr>
          <w:sz w:val="20"/>
        </w:rPr>
      </w:r>
      <w:r>
        <w:rPr>
          <w:b/>
          <w:sz w:val="20"/>
        </w:rPr>
        <w:t>Point to sparkline cards:</w:t>
      </w:r>
      <w:r>
        <w:rPr>
          <w:sz w:val="20"/>
        </w:rPr>
      </w:r>
    </w:p>
    <w:p>
      <w:r>
        <w:rPr>
          <w:sz w:val="20"/>
        </w:rPr>
        <w:t>&gt; "Four key metrics at a glance: 99.7% availability, 72ms average latency, 0.8% error rate, 5.1k requests per second throughput. Each with a mini trend line."</w:t>
      </w:r>
    </w:p>
    <w:p/>
    <w:p>
      <w:r>
        <w:rPr>
          <w:sz w:val="20"/>
        </w:rPr>
      </w:r>
      <w:r>
        <w:rPr>
          <w:b/>
          <w:sz w:val="20"/>
        </w:rPr>
        <w:t>Point to "Attention Required" list:</w:t>
      </w:r>
      <w:r>
        <w:rPr>
          <w:sz w:val="20"/>
        </w:rPr>
      </w:r>
    </w:p>
    <w:p>
      <w:r>
        <w:rPr>
          <w:sz w:val="20"/>
        </w:rPr>
        <w:t>&gt; "Three integrations need attention — the critical email gateway, the degraded LDAP, and the degraded Elasticsearch. Each links back to the detail view."</w:t>
      </w:r>
    </w:p>
    <w:p/>
    <w:p>
      <w:r>
        <w:rPr>
          <w:sz w:val="20"/>
        </w:rPr>
      </w:r>
      <w:r>
        <w:rPr>
          <w:b/>
          <w:sz w:val="20"/>
        </w:rPr>
        <w:t>Click "View all →"</w:t>
      </w:r>
      <w:r>
        <w:rPr>
          <w:sz w:val="20"/>
        </w:rPr>
        <w:t xml:space="preserve"> — navigates back to Integrations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Closing (1 minute)</w:t>
      </w:r>
    </w:p>
    <w:p/>
    <w:p>
      <w:r>
        <w:rPr>
          <w:sz w:val="20"/>
        </w:rPr>
      </w:r>
      <w:r>
        <w:rPr>
          <w:b/>
          <w:sz w:val="20"/>
        </w:rPr>
        <w:t>Navigate back to Overview</w:t>
      </w:r>
      <w:r>
        <w:rPr>
          <w:sz w:val="20"/>
        </w:rPr>
      </w:r>
    </w:p>
    <w:p/>
    <w:p>
      <w:r>
        <w:rPr>
          <w:sz w:val="20"/>
        </w:rPr>
        <w:t>&gt; "What you've just seen is Avennorth Pathfinder doing what no other ServiceNow tool does:</w:t>
      </w:r>
    </w:p>
    <w:p>
      <w:r>
        <w:rPr>
          <w:sz w:val="20"/>
        </w:rPr>
        <w:t>&gt;</w:t>
      </w:r>
    </w:p>
    <w:p>
      <w:r>
        <w:rPr>
          <w:sz w:val="20"/>
        </w:rPr>
        <w:t xml:space="preserve">&gt; 1. </w:t>
      </w:r>
      <w:r>
        <w:rPr>
          <w:b/>
          <w:sz w:val="20"/>
        </w:rPr>
        <w:t>Zero-code discovery</w:t>
      </w:r>
      <w:r>
        <w:rPr>
          <w:sz w:val="20"/>
        </w:rPr>
        <w:t xml:space="preserve"> — eBPF agents find every integration automatically</w:t>
      </w:r>
    </w:p>
    <w:p>
      <w:r>
        <w:rPr>
          <w:sz w:val="20"/>
        </w:rPr>
        <w:t xml:space="preserve">&gt; 2. </w:t>
      </w:r>
      <w:r>
        <w:rPr>
          <w:b/>
          <w:sz w:val="20"/>
        </w:rPr>
        <w:t>AI intelligence</w:t>
      </w:r>
      <w:r>
        <w:rPr>
          <w:sz w:val="20"/>
        </w:rPr>
        <w:t xml:space="preserve"> — Claude-powered health scoring, summarization, and remediation advice</w:t>
      </w:r>
    </w:p>
    <w:p>
      <w:r>
        <w:rPr>
          <w:sz w:val="20"/>
        </w:rPr>
        <w:t xml:space="preserve">&gt; 3. </w:t>
      </w:r>
      <w:r>
        <w:rPr>
          <w:b/>
          <w:sz w:val="20"/>
        </w:rPr>
        <w:t>Autonomous CMDB governance</w:t>
      </w:r>
      <w:r>
        <w:rPr>
          <w:sz w:val="20"/>
        </w:rPr>
        <w:t xml:space="preserve"> — 8 AI agents continuously cleaning your CMDB</w:t>
      </w:r>
    </w:p>
    <w:p>
      <w:r>
        <w:rPr>
          <w:sz w:val="20"/>
        </w:rPr>
        <w:t xml:space="preserve">&gt; 4. </w:t>
      </w:r>
      <w:r>
        <w:rPr>
          <w:b/>
          <w:sz w:val="20"/>
        </w:rPr>
        <w:t>Self-healing coverage</w:t>
      </w:r>
      <w:r>
        <w:rPr>
          <w:sz w:val="20"/>
        </w:rPr>
        <w:t xml:space="preserve"> — gaps detected, change requests created, agents deployed, verified, and closed automatically</w:t>
      </w:r>
    </w:p>
    <w:p>
      <w:r>
        <w:rPr>
          <w:sz w:val="20"/>
        </w:rPr>
        <w:t xml:space="preserve">&gt; 5. </w:t>
      </w:r>
      <w:r>
        <w:rPr>
          <w:b/>
          <w:sz w:val="20"/>
        </w:rPr>
        <w:t>EA reconciliation</w:t>
      </w:r>
      <w:r>
        <w:rPr>
          <w:sz w:val="20"/>
        </w:rPr>
        <w:t xml:space="preserve"> — AI matches discoveries to EA records in seconds, not spreadsheets</w:t>
      </w:r>
    </w:p>
    <w:p>
      <w:r>
        <w:rPr>
          <w:sz w:val="20"/>
        </w:rPr>
        <w:t>&gt;</w:t>
      </w:r>
    </w:p>
    <w:p>
      <w:r>
        <w:rPr>
          <w:sz w:val="20"/>
        </w:rPr>
        <w:t>&gt; All of this runs inside your ServiceNow instance as a Polaris workspace. No separate tool. No context switching. Your CMDB analysts live here."</w:t>
      </w:r>
    </w:p>
    <w:p/>
    <w:p>
      <w:r>
        <w:rPr>
          <w:sz w:val="20"/>
        </w:rPr>
      </w:r>
      <w:r>
        <w:rPr>
          <w:b/>
          <w:sz w:val="20"/>
        </w:rPr>
        <w:t>Pause.</w:t>
      </w:r>
      <w:r>
        <w:rPr>
          <w:sz w:val="20"/>
        </w:rPr>
      </w:r>
    </w:p>
    <w:p/>
    <w:p>
      <w:r>
        <w:rPr>
          <w:sz w:val="20"/>
        </w:rPr>
        <w:t>&gt; "Questions?"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Talking Points for Q&amp;A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"How does it discover integrations?"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"eBPF probes in the Linux kernel watch TCP/UDP connections. No code changes, no SDK, no config files. &lt;1% CPU overhead. We also support Windows ETW and Kubernetes DaemonSets."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"What about false positives?"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"Every integration gets a confidence score based on port rules, process names, flow count, and consistency. The confidence threshold is configurable — default 0.8 means only high-confidence integrations become CIs."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"How does the AI work?"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"Claude API via our Shared AI Engine. The integration context — source, target, type, interfaces, health metrics — is sent as structured prompts. Claude returns JSON with summaries, health assessments, and recommendations."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"What's the pricing?"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"Per-host monthly. Starter $15 (discovery only), Professional $28 (adds AI intelligence), Enterprise $38 (adds autonomous CMDB agents). Typical enterprise deal: 300 hosts × $28 = $8,400/month."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"How long to deploy?"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"Crawl stage in 4 weeks: 10-20 servers, validate accuracy. Walk stage by week 12: full production coverage with intelligence enabled. Run stage by week 24: autonomous operations."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"Does it replace ServiceNow Discovery?"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"No — it complements it. ServiceNow Discovery maps infrastructure. Pathfinder discovers the integration relationships BETWEEN infrastructure and adds AI intelligence on top."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Pre-Demo Checklist</w:t>
      </w:r>
    </w:p>
    <w:p/>
    <w:p>
      <w:pPr>
        <w:pStyle w:val="ListBullet"/>
      </w:pPr>
      <w:r>
        <w:rPr>
          <w:sz w:val="18"/>
        </w:rPr>
        <w:t>[ ] Prototype running at **http://localhost:4200**</w:t>
      </w:r>
    </w:p>
    <w:p>
      <w:pPr>
        <w:pStyle w:val="ListBullet"/>
      </w:pPr>
      <w:r>
        <w:rPr>
          <w:sz w:val="18"/>
        </w:rPr>
        <w:t>[ ] Browser: Chrome or Edge (best font rendering for the dark theme)</w:t>
      </w:r>
    </w:p>
    <w:p>
      <w:pPr>
        <w:pStyle w:val="ListBullet"/>
      </w:pPr>
      <w:r>
        <w:rPr>
          <w:sz w:val="18"/>
        </w:rPr>
        <w:t>[ ] Window: maximized or at least 1400px wide</w:t>
      </w:r>
    </w:p>
    <w:p>
      <w:pPr>
        <w:pStyle w:val="ListBullet"/>
      </w:pPr>
      <w:r>
        <w:rPr>
          <w:sz w:val="18"/>
        </w:rPr>
        <w:t>[ ] Tab: starts on Overview page</w:t>
      </w:r>
    </w:p>
    <w:p>
      <w:pPr>
        <w:pStyle w:val="ListBullet"/>
      </w:pPr>
      <w:r>
        <w:rPr>
          <w:sz w:val="18"/>
        </w:rPr>
        <w:t>[ ] No other Avennorth apps running on conflicting ports</w:t>
      </w:r>
    </w:p>
    <w:p>
      <w:pPr>
        <w:pStyle w:val="ListBullet"/>
      </w:pPr>
      <w:r>
        <w:rPr>
          <w:sz w:val="18"/>
        </w:rPr>
        <w:t>[ ] Screen sharing configured (if remote demo)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